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b/>
          <w:b/>
          <w:bCs/>
          <w:u w:val="single"/>
        </w:rPr>
      </w:pPr>
      <w:r>
        <w:rPr>
          <w:rFonts w:ascii="Arial" w:hAnsi="Arial"/>
          <w:b/>
          <w:bCs/>
          <w:u w:val="single"/>
        </w:rPr>
        <w:t>Kurs: DSP E2  Halbjahresplanung: Figurenentwicklung</w:t>
      </w:r>
    </w:p>
    <w:p>
      <w:pPr>
        <w:pStyle w:val="Normal"/>
        <w:rPr>
          <w:rFonts w:ascii="Arial" w:hAnsi="Arial"/>
        </w:rPr>
      </w:pPr>
      <w:r>
        <w:rPr>
          <w:rFonts w:ascii="Arial" w:hAnsi="Arial"/>
        </w:rPr>
      </w:r>
    </w:p>
    <w:tbl>
      <w:tblPr>
        <w:tblW w:w="14570" w:type="dxa"/>
        <w:jc w:val="left"/>
        <w:tblInd w:w="55" w:type="dxa"/>
        <w:tblCellMar>
          <w:top w:w="55" w:type="dxa"/>
          <w:left w:w="55" w:type="dxa"/>
          <w:bottom w:w="55" w:type="dxa"/>
          <w:right w:w="55" w:type="dxa"/>
        </w:tblCellMar>
      </w:tblPr>
      <w:tblGrid>
        <w:gridCol w:w="990"/>
        <w:gridCol w:w="1984"/>
        <w:gridCol w:w="5954"/>
        <w:gridCol w:w="2551"/>
        <w:gridCol w:w="3091"/>
      </w:tblGrid>
      <w:tr>
        <w:trPr/>
        <w:tc>
          <w:tcPr>
            <w:tcW w:w="990" w:type="dxa"/>
            <w:tcBorders>
              <w:top w:val="single" w:sz="2" w:space="0" w:color="000000"/>
              <w:left w:val="single" w:sz="2" w:space="0" w:color="000000"/>
              <w:bottom w:val="single" w:sz="2" w:space="0" w:color="000000"/>
            </w:tcBorders>
          </w:tcPr>
          <w:p>
            <w:pPr>
              <w:pStyle w:val="Tabelleninhalt"/>
              <w:rPr>
                <w:rFonts w:ascii="Arial" w:hAnsi="Arial"/>
                <w:b/>
                <w:b/>
                <w:bCs/>
              </w:rPr>
            </w:pPr>
            <w:r>
              <w:rPr>
                <w:rFonts w:ascii="Arial" w:hAnsi="Arial"/>
                <w:b/>
                <w:bCs/>
              </w:rPr>
              <w:t>Woche</w:t>
            </w:r>
          </w:p>
        </w:tc>
        <w:tc>
          <w:tcPr>
            <w:tcW w:w="1984" w:type="dxa"/>
            <w:tcBorders>
              <w:top w:val="single" w:sz="2" w:space="0" w:color="000000"/>
              <w:left w:val="single" w:sz="2" w:space="0" w:color="000000"/>
              <w:bottom w:val="single" w:sz="2" w:space="0" w:color="000000"/>
            </w:tcBorders>
          </w:tcPr>
          <w:p>
            <w:pPr>
              <w:pStyle w:val="Tabelleninhalt"/>
              <w:rPr>
                <w:rFonts w:ascii="Arial" w:hAnsi="Arial"/>
                <w:b/>
                <w:b/>
                <w:bCs/>
              </w:rPr>
            </w:pPr>
            <w:r>
              <w:rPr>
                <w:rFonts w:ascii="Arial" w:hAnsi="Arial"/>
                <w:b/>
                <w:bCs/>
              </w:rPr>
              <w:t>Themenfelder lt. KCGO</w:t>
            </w:r>
          </w:p>
        </w:tc>
        <w:tc>
          <w:tcPr>
            <w:tcW w:w="5954" w:type="dxa"/>
            <w:tcBorders>
              <w:top w:val="single" w:sz="2" w:space="0" w:color="000000"/>
              <w:left w:val="single" w:sz="2" w:space="0" w:color="000000"/>
              <w:bottom w:val="single" w:sz="2" w:space="0" w:color="000000"/>
            </w:tcBorders>
          </w:tcPr>
          <w:p>
            <w:pPr>
              <w:pStyle w:val="Tabelleninhalt"/>
              <w:rPr>
                <w:rFonts w:ascii="Arial" w:hAnsi="Arial"/>
                <w:b/>
                <w:b/>
                <w:bCs/>
              </w:rPr>
            </w:pPr>
            <w:r>
              <w:rPr>
                <w:rFonts w:ascii="Arial" w:hAnsi="Arial"/>
                <w:b/>
                <w:bCs/>
              </w:rPr>
              <w:t>Konkretisierung der Themenfelder</w:t>
            </w:r>
          </w:p>
        </w:tc>
        <w:tc>
          <w:tcPr>
            <w:tcW w:w="2551" w:type="dxa"/>
            <w:tcBorders>
              <w:top w:val="single" w:sz="2" w:space="0" w:color="000000"/>
              <w:left w:val="single" w:sz="2" w:space="0" w:color="000000"/>
              <w:bottom w:val="single" w:sz="2" w:space="0" w:color="000000"/>
            </w:tcBorders>
          </w:tcPr>
          <w:p>
            <w:pPr>
              <w:pStyle w:val="Tabelleninhalt"/>
              <w:rPr>
                <w:rFonts w:ascii="Arial" w:hAnsi="Arial"/>
                <w:b/>
                <w:b/>
                <w:bCs/>
              </w:rPr>
            </w:pPr>
            <w:r>
              <w:rPr>
                <w:rFonts w:ascii="Arial" w:hAnsi="Arial"/>
                <w:b/>
                <w:bCs/>
              </w:rPr>
              <w:t>Texte/Hausaufgaben/</w:t>
            </w:r>
          </w:p>
          <w:p>
            <w:pPr>
              <w:pStyle w:val="Tabelleninhalt"/>
              <w:rPr>
                <w:rFonts w:ascii="Arial" w:hAnsi="Arial"/>
                <w:b/>
                <w:b/>
                <w:bCs/>
              </w:rPr>
            </w:pPr>
            <w:r>
              <w:rPr>
                <w:rFonts w:ascii="Arial" w:hAnsi="Arial"/>
                <w:b/>
                <w:bCs/>
              </w:rPr>
              <w:t>Vorbereitung</w:t>
            </w:r>
          </w:p>
        </w:tc>
        <w:tc>
          <w:tcPr>
            <w:tcW w:w="3091" w:type="dxa"/>
            <w:tcBorders>
              <w:top w:val="single" w:sz="2" w:space="0" w:color="000000"/>
              <w:left w:val="single" w:sz="2" w:space="0" w:color="000000"/>
              <w:bottom w:val="single" w:sz="2" w:space="0" w:color="000000"/>
              <w:right w:val="single" w:sz="2" w:space="0" w:color="000000"/>
            </w:tcBorders>
          </w:tcPr>
          <w:p>
            <w:pPr>
              <w:pStyle w:val="Tabelleninhalt"/>
              <w:rPr>
                <w:rFonts w:ascii="Arial" w:hAnsi="Arial"/>
                <w:b/>
                <w:b/>
                <w:bCs/>
              </w:rPr>
            </w:pPr>
            <w:r>
              <w:rPr>
                <w:rFonts w:ascii="Arial" w:hAnsi="Arial"/>
                <w:b/>
                <w:bCs/>
              </w:rPr>
              <w:t>Bildungsstandards</w:t>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01</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t xml:space="preserve">E2.1 Spieler – Rolle – Figur </w:t>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Szenenbearbeitung „Frühlingserwachen“</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Te4: Rollenfiguren verkörpern</w:t>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02</w:t>
            </w:r>
          </w:p>
          <w:p>
            <w:pPr>
              <w:pStyle w:val="Tabelleninhalt"/>
              <w:rPr>
                <w:rFonts w:ascii="Arial" w:hAnsi="Arial"/>
              </w:rPr>
            </w:pPr>
            <w:r>
              <w:rPr>
                <w:rFonts w:ascii="Arial" w:hAnsi="Arial"/>
              </w:rPr>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t>E2.1</w:t>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Karikatur „Frühlingserwachen“, Impro</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Te4</w:t>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03</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t>E2.2 Sprache und Sprechen auf der Bühne</w:t>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 xml:space="preserve">You, Fantasiegeschichte, „Die Männer wollen nur eins“, „Der Mühe nicht wert“ </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Te4</w:t>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04</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t>E2.2/3 Interaktion – Figuren im Spiel</w:t>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Fantasiegeschichten, „Halt den Mund“, Rollenbiografie</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t>Fantasiegeschichten schreiben</w:t>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Tg2: theatrale Gestaltungsmittel auswählen</w:t>
            </w:r>
          </w:p>
          <w:p>
            <w:pPr>
              <w:pStyle w:val="Tabelleninhalt"/>
              <w:rPr>
                <w:rFonts w:ascii="Arial" w:hAnsi="Arial"/>
              </w:rPr>
            </w:pPr>
            <w:r>
              <w:rPr>
                <w:rFonts w:ascii="Arial" w:hAnsi="Arial"/>
              </w:rPr>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05</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t>E2.3</w:t>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Fantasiegeschichten, unterschiedliche Gangarten, Gehen nach Typen, Leseprobe „Kurzer Besuch im Deutschen Museum“, Tischarbeit, Szenenanweisungen</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Tg1: Inszenierungskonzept entwerfen</w:t>
            </w:r>
          </w:p>
          <w:p>
            <w:pPr>
              <w:pStyle w:val="Tabelleninhalt"/>
              <w:rPr>
                <w:rFonts w:ascii="Arial" w:hAnsi="Arial"/>
              </w:rPr>
            </w:pPr>
            <w:r>
              <w:rPr>
                <w:rFonts w:ascii="Arial" w:hAnsi="Arial"/>
              </w:rPr>
            </w:r>
          </w:p>
          <w:p>
            <w:pPr>
              <w:pStyle w:val="Tabelleninhalt"/>
              <w:rPr>
                <w:rFonts w:ascii="Arial" w:hAnsi="Arial"/>
              </w:rPr>
            </w:pPr>
            <w:r>
              <w:rPr>
                <w:rFonts w:ascii="Arial" w:hAnsi="Arial"/>
              </w:rPr>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06</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t>E2.3/5 Szenisches Arbeiten mit Spannungsbö-gen</w:t>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Rollenbiografien testen, Vorspielen, Aufführungsanalyse, Dokumentation und Reflexi</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t>Rollenbiografien, Kostüme und Props,</w:t>
            </w:r>
          </w:p>
          <w:p>
            <w:pPr>
              <w:pStyle w:val="Tabelleninhalt"/>
              <w:rPr>
                <w:rFonts w:ascii="Arial" w:hAnsi="Arial"/>
              </w:rPr>
            </w:pPr>
            <w:r>
              <w:rPr>
                <w:rFonts w:ascii="Arial" w:hAnsi="Arial"/>
              </w:rPr>
              <w:t xml:space="preserve">Jenisch „Regisseur – Schauspieler“ </w:t>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Te5: Strukturierungstechniken einsetzen</w:t>
            </w:r>
          </w:p>
          <w:p>
            <w:pPr>
              <w:pStyle w:val="Tabelleninhalt"/>
              <w:rPr>
                <w:rFonts w:ascii="Arial" w:hAnsi="Arial"/>
              </w:rPr>
            </w:pPr>
            <w:r>
              <w:rPr>
                <w:rFonts w:ascii="Arial" w:hAnsi="Arial"/>
              </w:rPr>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07</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t>E2.3/4 Requisiten</w:t>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Chorisches Spiel, Arbeit mit Requisiten: Brief – Blume – Paket, Monolog: Paket</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Te3: Bühnenpräsenz erzeugen</w:t>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08</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t>E2.4</w:t>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Gangarten, Groteske: Überreichen eines Blumenstraußes, PA „Fink und Frosch“ oder „Nie siehst du mich an“</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t xml:space="preserve"> </w:t>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Te3</w:t>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09</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t>E2.5</w:t>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Klangspiele, Zeitungschoreografie</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Te3</w:t>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10</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Klausur</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11</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t>E2.5</w:t>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Szenenfestlegung und Rolleneinteilung für Auftritt</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Tr4: kommunikativen Anlass gestalten</w:t>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12</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Proben für den Auftritt</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13</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Auftritt vor Publikum</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14</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Besprechung/Kritik/Notenbesprechung</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t>Tr1: Fachbegriffe verwenden</w:t>
            </w:r>
          </w:p>
        </w:tc>
      </w:tr>
      <w:tr>
        <w:trPr/>
        <w:tc>
          <w:tcPr>
            <w:tcW w:w="990" w:type="dxa"/>
            <w:tcBorders>
              <w:left w:val="single" w:sz="2" w:space="0" w:color="000000"/>
              <w:bottom w:val="single" w:sz="2" w:space="0" w:color="000000"/>
            </w:tcBorders>
          </w:tcPr>
          <w:p>
            <w:pPr>
              <w:pStyle w:val="Tabelleninhalt"/>
              <w:rPr>
                <w:rFonts w:ascii="Arial" w:hAnsi="Arial"/>
              </w:rPr>
            </w:pPr>
            <w:r>
              <w:rPr>
                <w:rFonts w:ascii="Arial" w:hAnsi="Arial"/>
              </w:rPr>
              <w:t>15</w:t>
            </w:r>
          </w:p>
        </w:tc>
        <w:tc>
          <w:tcPr>
            <w:tcW w:w="1984"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5954" w:type="dxa"/>
            <w:tcBorders>
              <w:left w:val="single" w:sz="2" w:space="0" w:color="000000"/>
              <w:bottom w:val="single" w:sz="2" w:space="0" w:color="000000"/>
            </w:tcBorders>
          </w:tcPr>
          <w:p>
            <w:pPr>
              <w:pStyle w:val="Tabelleninhalt"/>
              <w:rPr>
                <w:rFonts w:ascii="Arial" w:hAnsi="Arial"/>
              </w:rPr>
            </w:pPr>
            <w:r>
              <w:rPr>
                <w:rFonts w:ascii="Arial" w:hAnsi="Arial"/>
              </w:rPr>
              <w:t>Theaterbesuch und Besprechung</w:t>
            </w:r>
          </w:p>
        </w:tc>
        <w:tc>
          <w:tcPr>
            <w:tcW w:w="2551" w:type="dxa"/>
            <w:tcBorders>
              <w:left w:val="single" w:sz="2" w:space="0" w:color="000000"/>
              <w:bottom w:val="single" w:sz="2" w:space="0" w:color="000000"/>
            </w:tcBorders>
          </w:tcPr>
          <w:p>
            <w:pPr>
              <w:pStyle w:val="Tabelleninhalt"/>
              <w:rPr>
                <w:rFonts w:ascii="Arial" w:hAnsi="Arial"/>
              </w:rPr>
            </w:pPr>
            <w:r>
              <w:rPr>
                <w:rFonts w:ascii="Arial" w:hAnsi="Arial"/>
              </w:rPr>
            </w:r>
          </w:p>
        </w:tc>
        <w:tc>
          <w:tcPr>
            <w:tcW w:w="3091" w:type="dxa"/>
            <w:tcBorders>
              <w:left w:val="single" w:sz="2" w:space="0" w:color="000000"/>
              <w:bottom w:val="single" w:sz="2" w:space="0" w:color="000000"/>
              <w:right w:val="single" w:sz="2" w:space="0" w:color="000000"/>
            </w:tcBorders>
          </w:tcPr>
          <w:p>
            <w:pPr>
              <w:pStyle w:val="Tabelleninhalt"/>
              <w:rPr>
                <w:rFonts w:ascii="Arial" w:hAnsi="Arial"/>
              </w:rPr>
            </w:pPr>
            <w:r>
              <w:rPr>
                <w:rFonts w:ascii="Arial" w:hAnsi="Arial"/>
              </w:rPr>
            </w:r>
          </w:p>
        </w:tc>
      </w:tr>
    </w:tbl>
    <w:p>
      <w:pPr>
        <w:pStyle w:val="Normal"/>
        <w:rPr>
          <w:rFonts w:ascii="Arial" w:hAnsi="Arial"/>
        </w:rPr>
      </w:pPr>
      <w:r>
        <w:rPr>
          <w:rFonts w:ascii="Arial" w:hAnsi="Arial"/>
        </w:rPr>
      </w:r>
    </w:p>
    <w:p>
      <w:pPr>
        <w:pStyle w:val="Normal"/>
        <w:rPr>
          <w:rFonts w:ascii="Arial" w:hAnsi="Arial"/>
        </w:rPr>
      </w:pPr>
      <w:r>
        <w:rPr>
          <w:rFonts w:ascii="Arial" w:hAnsi="Arial"/>
        </w:rPr>
        <w:t>Weitere Erläuterungen: KCGO Darstellendes Spiel</w:t>
      </w:r>
    </w:p>
    <w:p>
      <w:pPr>
        <w:pStyle w:val="Normal"/>
        <w:rPr>
          <w:rFonts w:ascii="Arial" w:hAnsi="Arial"/>
        </w:rPr>
      </w:pPr>
      <w:r>
        <w:rPr>
          <w:rFonts w:ascii="Arial" w:hAnsi="Arial"/>
        </w:rPr>
      </w:r>
    </w:p>
    <w:p>
      <w:pPr>
        <w:pStyle w:val="Normal"/>
        <w:rPr>
          <w:rFonts w:ascii="Arial" w:hAnsi="Arial"/>
        </w:rPr>
      </w:pPr>
      <w:r>
        <w:rPr>
          <w:rFonts w:ascii="Arial" w:hAnsi="Arial"/>
        </w:rPr>
        <w:t>Im 2. Halbjahr fallen erfahrungsgemäß einige Stunden aus durch Berlinfahrt, Abiturprüfungen, Feiertage…, daher sind hier weniger Stunden aufgeführt.</w:t>
      </w:r>
    </w:p>
    <w:p>
      <w:pPr>
        <w:pStyle w:val="Normal"/>
        <w:rPr>
          <w:rFonts w:ascii="Arial" w:hAnsi="Arial"/>
        </w:rPr>
      </w:pPr>
      <w:r>
        <w:rPr>
          <w:rFonts w:ascii="Arial" w:hAnsi="Arial"/>
        </w:rPr>
      </w:r>
    </w:p>
    <w:p>
      <w:pPr>
        <w:pStyle w:val="Normal"/>
        <w:rPr/>
      </w:pPr>
      <w:r>
        <w:rPr>
          <w:rStyle w:val="AbsatzStandardschriftart"/>
          <w:rFonts w:ascii="Arial" w:hAnsi="Arial"/>
        </w:rPr>
        <w:t>Die Kategorie „Konkretisierung der Themenfelder“ entspricht am ehesten dem, was man „Methoden“ nennen möchte, da dort die entsprechenden Übungen genannt werden. Je nach Lehrer, Gruppengröße oder Anforderungen können diese aber variieren. Das KCGO spricht von „zyklisch-progressivem Lernen“.</w:t>
      </w:r>
    </w:p>
    <w:sectPr>
      <w:type w:val="nextPage"/>
      <w:pgSz w:orient="landscape" w:w="16838" w:h="11906"/>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de-DE" w:eastAsia="zh-CN"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SimSun" w:cs="Lucida Sans"/>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de-DE" w:eastAsia="zh-CN" w:bidi="hi-IN"/>
    </w:rPr>
  </w:style>
  <w:style w:type="character" w:styleId="AbsatzStandardschriftart">
    <w:name w:val="Absatz-Standardschriftart"/>
    <w:qFormat/>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uppressAutoHyphens w:val="true"/>
      <w:spacing w:before="240" w:after="120"/>
    </w:pPr>
    <w:rPr>
      <w:rFonts w:ascii="Arial" w:hAnsi="Arial" w:eastAsia="Microsoft YaHei"/>
      <w:sz w:val="28"/>
      <w:szCs w:val="28"/>
    </w:rPr>
  </w:style>
  <w:style w:type="paragraph" w:styleId="Textkrper">
    <w:name w:val="Body Text"/>
    <w:basedOn w:val="Normal"/>
    <w:pPr>
      <w:suppressAutoHyphens w:val="true"/>
      <w:spacing w:before="0" w:after="120"/>
    </w:pPr>
    <w:rPr/>
  </w:style>
  <w:style w:type="paragraph" w:styleId="Liste">
    <w:name w:val="List"/>
    <w:basedOn w:val="Textkrper"/>
    <w:pPr>
      <w:suppressAutoHyphens w:val="true"/>
    </w:pPr>
    <w:rPr/>
  </w:style>
  <w:style w:type="paragraph" w:styleId="Beschriftung">
    <w:name w:val="Caption"/>
    <w:basedOn w:val="Normal"/>
    <w:qFormat/>
    <w:pPr>
      <w:suppressLineNumbers/>
      <w:suppressAutoHyphens w:val="true"/>
      <w:spacing w:before="120" w:after="120"/>
    </w:pPr>
    <w:rPr>
      <w:i/>
      <w:iCs/>
    </w:rPr>
  </w:style>
  <w:style w:type="paragraph" w:styleId="Verzeichnis">
    <w:name w:val="Verzeichnis"/>
    <w:basedOn w:val="Normal"/>
    <w:qFormat/>
    <w:pPr>
      <w:suppressLineNumbers/>
      <w:suppressAutoHyphens w:val="true"/>
    </w:pPr>
    <w:rPr/>
  </w:style>
  <w:style w:type="paragraph" w:styleId="Tabelleninhalt">
    <w:name w:val="Tabelleninhalt"/>
    <w:basedOn w:val="Normal"/>
    <w:qFormat/>
    <w:pPr>
      <w:suppressLineNumbers/>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LibreOffice/6.4.3.2$Windows_X86_64 LibreOffice_project/747b5d0ebf89f41c860ec2a39efd7cb15b54f2d8</Application>
  <Pages>2</Pages>
  <Words>291</Words>
  <CharactersWithSpaces>2125</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2017-09-03T15:30:00Z</dcterms:created>
  <dc:creator/>
  <dc:description/>
  <dc:language>de-DE</dc:language>
  <cp:lastModifiedBy>Anja Fernanda Nitzke</cp:lastModifiedBy>
  <cp:lastPrinted>2020-04-26T11:45:00Z</cp:lastPrinted>
  <dcterms:modified xsi:type="dcterms:W3CDTF">2020-05-06T06:06:00Z</dcterms:modified>
  <cp:revision>26</cp:revision>
  <dc:subject/>
  <dc:title/>
</cp:coreProperties>
</file>