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70" w:tblpY="-840"/>
        <w:tblW w:w="0" w:type="auto"/>
        <w:tblCellMar>
          <w:left w:w="70" w:type="dxa"/>
          <w:right w:w="70" w:type="dxa"/>
        </w:tblCellMar>
        <w:tblLook w:val="0000" w:firstRow="0" w:lastRow="0" w:firstColumn="0" w:lastColumn="0" w:noHBand="0" w:noVBand="0"/>
      </w:tblPr>
      <w:tblGrid>
        <w:gridCol w:w="7088"/>
      </w:tblGrid>
      <w:tr w:rsidR="009E1C59" w:rsidRPr="00CD7EDD" w:rsidTr="001F507E">
        <w:tc>
          <w:tcPr>
            <w:tcW w:w="7088" w:type="dxa"/>
          </w:tcPr>
          <w:p w:rsidR="009E1C59" w:rsidRPr="00CD7EDD" w:rsidRDefault="009E1C59" w:rsidP="001F507E">
            <w:pPr>
              <w:rPr>
                <w:rFonts w:asciiTheme="majorHAnsi" w:hAnsiTheme="majorHAnsi"/>
                <w:color w:val="auto"/>
                <w:sz w:val="22"/>
                <w:szCs w:val="22"/>
              </w:rPr>
            </w:pPr>
            <w:bookmarkStart w:id="0" w:name="_GoBack"/>
            <w:bookmarkEnd w:id="0"/>
          </w:p>
        </w:tc>
      </w:tr>
      <w:tr w:rsidR="00F43305" w:rsidRPr="00CD7EDD" w:rsidTr="001F507E">
        <w:tc>
          <w:tcPr>
            <w:tcW w:w="7088" w:type="dxa"/>
          </w:tcPr>
          <w:p w:rsidR="00F43305" w:rsidRPr="00CD7EDD" w:rsidRDefault="00F43305" w:rsidP="001F507E">
            <w:pPr>
              <w:rPr>
                <w:rFonts w:asciiTheme="majorHAnsi" w:hAnsiTheme="majorHAnsi"/>
                <w:sz w:val="22"/>
                <w:szCs w:val="22"/>
              </w:rPr>
            </w:pPr>
          </w:p>
        </w:tc>
      </w:tr>
      <w:tr w:rsidR="00F43305" w:rsidRPr="00CD7EDD" w:rsidTr="001F507E">
        <w:tc>
          <w:tcPr>
            <w:tcW w:w="7088" w:type="dxa"/>
          </w:tcPr>
          <w:p w:rsidR="00F43305" w:rsidRPr="00CD7EDD" w:rsidRDefault="00F43305" w:rsidP="001F507E">
            <w:pPr>
              <w:rPr>
                <w:rFonts w:asciiTheme="majorHAnsi" w:hAnsiTheme="majorHAnsi"/>
                <w:sz w:val="22"/>
                <w:szCs w:val="22"/>
              </w:rPr>
            </w:pPr>
          </w:p>
        </w:tc>
      </w:tr>
    </w:tbl>
    <w:p w:rsidR="00FA069D" w:rsidRPr="00CD7EDD" w:rsidRDefault="00FA069D" w:rsidP="00FA069D">
      <w:pPr>
        <w:rPr>
          <w:rFonts w:asciiTheme="majorHAnsi" w:hAnsiTheme="majorHAnsi" w:cs="Arial"/>
          <w:sz w:val="22"/>
          <w:szCs w:val="22"/>
        </w:rPr>
      </w:pPr>
    </w:p>
    <w:p w:rsidR="00CD7EDD" w:rsidRPr="00CD7EDD" w:rsidRDefault="005407A6" w:rsidP="00CD7EDD">
      <w:pPr>
        <w:spacing w:before="120"/>
        <w:jc w:val="center"/>
        <w:rPr>
          <w:rFonts w:asciiTheme="majorHAnsi" w:hAnsiTheme="majorHAnsi" w:cstheme="majorHAnsi"/>
          <w:sz w:val="22"/>
          <w:szCs w:val="22"/>
        </w:rPr>
      </w:pPr>
      <w:r>
        <w:rPr>
          <w:rFonts w:asciiTheme="majorHAnsi" w:hAnsiTheme="majorHAnsi" w:cstheme="majorHAnsi"/>
          <w:b/>
          <w:sz w:val="28"/>
          <w:szCs w:val="28"/>
        </w:rPr>
        <w:t>Lernaufgaben</w:t>
      </w:r>
      <w:r w:rsidR="00CD7EDD" w:rsidRPr="00CD7EDD">
        <w:rPr>
          <w:rFonts w:asciiTheme="majorHAnsi" w:hAnsiTheme="majorHAnsi" w:cstheme="majorHAnsi"/>
          <w:b/>
          <w:sz w:val="28"/>
          <w:szCs w:val="28"/>
        </w:rPr>
        <w:t>-Konzept</w:t>
      </w:r>
      <w:r w:rsidR="00CD7EDD" w:rsidRPr="00CD7EDD">
        <w:rPr>
          <w:rFonts w:asciiTheme="majorHAnsi" w:hAnsiTheme="majorHAnsi" w:cstheme="majorHAnsi"/>
          <w:b/>
          <w:sz w:val="28"/>
          <w:szCs w:val="28"/>
        </w:rPr>
        <w:tab/>
      </w:r>
      <w:r w:rsidR="00CD7EDD" w:rsidRPr="00CD7EDD">
        <w:rPr>
          <w:rFonts w:asciiTheme="majorHAnsi" w:hAnsiTheme="majorHAnsi" w:cstheme="majorHAnsi"/>
          <w:b/>
          <w:sz w:val="28"/>
          <w:szCs w:val="28"/>
        </w:rPr>
        <w:tab/>
      </w:r>
      <w:r w:rsidR="00CD7EDD" w:rsidRPr="00CD7EDD">
        <w:rPr>
          <w:rFonts w:asciiTheme="majorHAnsi" w:hAnsiTheme="majorHAnsi" w:cstheme="majorHAnsi"/>
          <w:b/>
          <w:sz w:val="28"/>
          <w:szCs w:val="28"/>
        </w:rPr>
        <w:tab/>
      </w:r>
      <w:r w:rsidR="00CD7EDD" w:rsidRPr="00CD7EDD">
        <w:rPr>
          <w:rFonts w:asciiTheme="majorHAnsi" w:hAnsiTheme="majorHAnsi" w:cstheme="majorHAnsi"/>
          <w:sz w:val="22"/>
          <w:szCs w:val="22"/>
        </w:rPr>
        <w:t>Stand 20.05.2019</w:t>
      </w:r>
    </w:p>
    <w:p w:rsidR="00CD7EDD" w:rsidRPr="00CD7EDD" w:rsidRDefault="00CD7EDD" w:rsidP="00CD7EDD">
      <w:pPr>
        <w:spacing w:before="120"/>
        <w:rPr>
          <w:rFonts w:asciiTheme="majorHAnsi" w:hAnsiTheme="majorHAnsi" w:cstheme="majorHAnsi"/>
          <w:sz w:val="22"/>
          <w:szCs w:val="22"/>
          <w:u w:val="single"/>
        </w:rPr>
      </w:pPr>
    </w:p>
    <w:p w:rsidR="00CD7EDD" w:rsidRPr="00CD7EDD" w:rsidRDefault="00CD7EDD" w:rsidP="00CD7EDD">
      <w:pPr>
        <w:spacing w:before="120"/>
        <w:rPr>
          <w:rFonts w:asciiTheme="majorHAnsi" w:hAnsiTheme="majorHAnsi" w:cstheme="majorHAnsi"/>
          <w:sz w:val="22"/>
          <w:szCs w:val="22"/>
          <w:u w:val="single"/>
        </w:rPr>
      </w:pPr>
    </w:p>
    <w:p w:rsidR="00CD7EDD" w:rsidRPr="00CD7EDD" w:rsidRDefault="00CD7EDD" w:rsidP="00CD7EDD">
      <w:pPr>
        <w:spacing w:before="120"/>
        <w:rPr>
          <w:rFonts w:asciiTheme="majorHAnsi" w:hAnsiTheme="majorHAnsi" w:cstheme="majorHAnsi"/>
          <w:b/>
          <w:sz w:val="22"/>
          <w:szCs w:val="22"/>
          <w:u w:val="single"/>
        </w:rPr>
      </w:pPr>
      <w:r w:rsidRPr="00CD7EDD">
        <w:rPr>
          <w:rFonts w:asciiTheme="majorHAnsi" w:hAnsiTheme="majorHAnsi" w:cstheme="majorHAnsi"/>
          <w:b/>
          <w:sz w:val="22"/>
          <w:szCs w:val="22"/>
          <w:u w:val="single"/>
        </w:rPr>
        <w:t>Allgemeine Grundsätze:</w:t>
      </w:r>
    </w:p>
    <w:p w:rsidR="00CD7EDD" w:rsidRPr="00CD7EDD" w:rsidRDefault="00CD7EDD" w:rsidP="00CD7EDD">
      <w:pPr>
        <w:spacing w:before="120"/>
        <w:rPr>
          <w:rFonts w:asciiTheme="majorHAnsi" w:hAnsiTheme="majorHAnsi" w:cstheme="majorHAnsi"/>
          <w:sz w:val="22"/>
          <w:szCs w:val="22"/>
        </w:rPr>
      </w:pPr>
      <w:r w:rsidRPr="00CD7EDD">
        <w:rPr>
          <w:rFonts w:asciiTheme="majorHAnsi" w:hAnsiTheme="majorHAnsi" w:cstheme="majorHAnsi"/>
          <w:sz w:val="22"/>
          <w:szCs w:val="22"/>
        </w:rPr>
        <w:t>Hausaufgaben sind immer Lern- und Übungsaufgaben. Wir sprechen deshalb in Folge von Lernaufgaben, da diese sowohl in der Schule als auch zuhause erledigt werden können. Schüler*innen, die eine Ganztagsklasse besuchen, erledigen diese Aufgaben meist in ÜVA / Lernzeiten. Dennoch können weitere Arbeiten zuhause anfallen (z.B</w:t>
      </w:r>
      <w:r>
        <w:rPr>
          <w:rFonts w:asciiTheme="majorHAnsi" w:hAnsiTheme="majorHAnsi" w:cstheme="majorHAnsi"/>
          <w:sz w:val="22"/>
          <w:szCs w:val="22"/>
        </w:rPr>
        <w:t>.</w:t>
      </w:r>
      <w:r w:rsidRPr="00CD7EDD">
        <w:rPr>
          <w:rFonts w:asciiTheme="majorHAnsi" w:hAnsiTheme="majorHAnsi" w:cstheme="majorHAnsi"/>
          <w:sz w:val="22"/>
          <w:szCs w:val="22"/>
        </w:rPr>
        <w:t xml:space="preserve">: Vokalbellernen, Wiederholung für </w:t>
      </w:r>
      <w:proofErr w:type="gramStart"/>
      <w:r w:rsidRPr="00CD7EDD">
        <w:rPr>
          <w:rFonts w:asciiTheme="majorHAnsi" w:hAnsiTheme="majorHAnsi" w:cstheme="majorHAnsi"/>
          <w:sz w:val="22"/>
          <w:szCs w:val="22"/>
        </w:rPr>
        <w:t>Klassenarbeiten, ….)</w:t>
      </w:r>
      <w:proofErr w:type="gramEnd"/>
    </w:p>
    <w:p w:rsidR="00CD7EDD" w:rsidRPr="00CD7EDD" w:rsidRDefault="00CD7EDD" w:rsidP="00CD7EDD">
      <w:pPr>
        <w:spacing w:before="120"/>
        <w:rPr>
          <w:rFonts w:asciiTheme="majorHAnsi" w:hAnsiTheme="majorHAnsi" w:cstheme="majorHAnsi"/>
          <w:sz w:val="22"/>
          <w:szCs w:val="22"/>
        </w:rPr>
      </w:pPr>
      <w:r w:rsidRPr="00CD7EDD">
        <w:rPr>
          <w:rFonts w:asciiTheme="majorHAnsi" w:hAnsiTheme="majorHAnsi" w:cstheme="majorHAnsi"/>
          <w:sz w:val="22"/>
          <w:szCs w:val="22"/>
        </w:rPr>
        <w:t>Diese Aufgaben werden in der Regel von den Lehrkräften erstellt und von den Schüler*innen selbstständig bearbeitet. Sie beinhalten immer eine Vorbereitung für Klassenarbeiten und oder Tests, da diese immer eine Wiederholung des vorherigen Unterrichts sind. Auch auf ein Thema hinführende Lernaufgaben sind Vorbereitungen auf eine Klassenarbeit</w:t>
      </w:r>
    </w:p>
    <w:p w:rsidR="00CD7EDD" w:rsidRPr="00CD7EDD" w:rsidRDefault="00CD7EDD" w:rsidP="00CD7EDD">
      <w:pPr>
        <w:spacing w:before="120"/>
        <w:rPr>
          <w:rFonts w:asciiTheme="majorHAnsi" w:hAnsiTheme="majorHAnsi" w:cstheme="majorHAnsi"/>
          <w:sz w:val="22"/>
          <w:szCs w:val="22"/>
        </w:rPr>
      </w:pPr>
      <w:r w:rsidRPr="00CD7EDD">
        <w:rPr>
          <w:rFonts w:asciiTheme="majorHAnsi" w:hAnsiTheme="majorHAnsi" w:cstheme="majorHAnsi"/>
          <w:sz w:val="22"/>
          <w:szCs w:val="22"/>
        </w:rPr>
        <w:t>Diese Aufgaben werden entweder durch Selbstkontrolle, durch Partner*</w:t>
      </w:r>
      <w:proofErr w:type="spellStart"/>
      <w:r w:rsidRPr="00CD7EDD">
        <w:rPr>
          <w:rFonts w:asciiTheme="majorHAnsi" w:hAnsiTheme="majorHAnsi" w:cstheme="majorHAnsi"/>
          <w:sz w:val="22"/>
          <w:szCs w:val="22"/>
        </w:rPr>
        <w:t>inkontrolle</w:t>
      </w:r>
      <w:proofErr w:type="spellEnd"/>
      <w:r w:rsidRPr="00CD7EDD">
        <w:rPr>
          <w:rFonts w:asciiTheme="majorHAnsi" w:hAnsiTheme="majorHAnsi" w:cstheme="majorHAnsi"/>
          <w:sz w:val="22"/>
          <w:szCs w:val="22"/>
        </w:rPr>
        <w:t xml:space="preserve"> oder durch Lehrkraftkontrolle überprüft. </w:t>
      </w:r>
    </w:p>
    <w:p w:rsidR="00CD7EDD" w:rsidRPr="00CD7EDD" w:rsidRDefault="00CD7EDD" w:rsidP="00CD7EDD">
      <w:pPr>
        <w:spacing w:before="120"/>
        <w:rPr>
          <w:rFonts w:asciiTheme="majorHAnsi" w:hAnsiTheme="majorHAnsi" w:cstheme="majorHAnsi"/>
          <w:sz w:val="22"/>
          <w:szCs w:val="22"/>
        </w:rPr>
      </w:pPr>
      <w:r w:rsidRPr="00CD7EDD">
        <w:rPr>
          <w:rFonts w:asciiTheme="majorHAnsi" w:hAnsiTheme="majorHAnsi" w:cstheme="majorHAnsi"/>
          <w:sz w:val="22"/>
          <w:szCs w:val="22"/>
        </w:rPr>
        <w:t xml:space="preserve">Der Organizer dient als Planungshilfe und Kommunikationsmittel mit den Eltern. </w:t>
      </w: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after="120"/>
        <w:jc w:val="both"/>
        <w:outlineLvl w:val="0"/>
        <w:rPr>
          <w:rFonts w:asciiTheme="majorHAnsi" w:hAnsiTheme="majorHAnsi" w:cstheme="majorHAnsi"/>
          <w:b/>
          <w:kern w:val="36"/>
          <w:sz w:val="22"/>
          <w:szCs w:val="22"/>
          <w:u w:val="single"/>
        </w:rPr>
      </w:pPr>
      <w:r w:rsidRPr="00CD7EDD">
        <w:rPr>
          <w:rFonts w:asciiTheme="majorHAnsi" w:hAnsiTheme="majorHAnsi" w:cstheme="majorHAnsi"/>
          <w:b/>
          <w:kern w:val="36"/>
          <w:sz w:val="22"/>
          <w:szCs w:val="22"/>
          <w:u w:val="single"/>
        </w:rPr>
        <w:t>Didaktische, methodische Konzeption der Lernzeit</w:t>
      </w:r>
    </w:p>
    <w:p w:rsidR="00CD7EDD" w:rsidRPr="00CD7EDD" w:rsidRDefault="00CD7EDD" w:rsidP="00CD7EDD">
      <w:pPr>
        <w:spacing w:before="120" w:after="120"/>
        <w:jc w:val="both"/>
        <w:outlineLvl w:val="0"/>
        <w:rPr>
          <w:rFonts w:asciiTheme="majorHAnsi" w:hAnsiTheme="majorHAnsi" w:cstheme="majorHAnsi"/>
          <w:b/>
          <w:bCs w:val="0"/>
          <w:kern w:val="36"/>
          <w:sz w:val="22"/>
          <w:szCs w:val="22"/>
          <w:u w:val="single"/>
        </w:rPr>
      </w:pPr>
    </w:p>
    <w:tbl>
      <w:tblPr>
        <w:tblStyle w:val="Tabellenraster"/>
        <w:tblW w:w="9056" w:type="dxa"/>
        <w:tblCellMar>
          <w:top w:w="57" w:type="dxa"/>
          <w:bottom w:w="57" w:type="dxa"/>
        </w:tblCellMar>
        <w:tblLook w:val="04A0" w:firstRow="1" w:lastRow="0" w:firstColumn="1" w:lastColumn="0" w:noHBand="0" w:noVBand="1"/>
      </w:tblPr>
      <w:tblGrid>
        <w:gridCol w:w="3018"/>
        <w:gridCol w:w="3640"/>
        <w:gridCol w:w="2398"/>
      </w:tblGrid>
      <w:tr w:rsidR="00CD7EDD" w:rsidRPr="00CD7EDD" w:rsidTr="00450308">
        <w:tc>
          <w:tcPr>
            <w:tcW w:w="3018" w:type="dxa"/>
          </w:tcPr>
          <w:p w:rsidR="00CD7EDD" w:rsidRPr="00CD7EDD" w:rsidRDefault="00CD7EDD" w:rsidP="00450308">
            <w:pPr>
              <w:rPr>
                <w:rFonts w:asciiTheme="majorHAnsi" w:hAnsiTheme="majorHAnsi" w:cstheme="minorHAnsi"/>
                <w:b/>
                <w:sz w:val="22"/>
                <w:szCs w:val="22"/>
              </w:rPr>
            </w:pPr>
            <w:r w:rsidRPr="00CD7EDD">
              <w:rPr>
                <w:rFonts w:asciiTheme="majorHAnsi" w:hAnsiTheme="majorHAnsi" w:cstheme="minorHAnsi"/>
                <w:b/>
                <w:sz w:val="22"/>
                <w:szCs w:val="22"/>
              </w:rPr>
              <w:t>Didaktische, methodische Funktion</w:t>
            </w:r>
          </w:p>
        </w:tc>
        <w:tc>
          <w:tcPr>
            <w:tcW w:w="3640" w:type="dxa"/>
          </w:tcPr>
          <w:p w:rsidR="00CD7EDD" w:rsidRPr="00CD7EDD" w:rsidRDefault="00CD7EDD" w:rsidP="00450308">
            <w:pPr>
              <w:rPr>
                <w:rFonts w:asciiTheme="majorHAnsi" w:hAnsiTheme="majorHAnsi" w:cstheme="minorHAnsi"/>
                <w:b/>
                <w:sz w:val="22"/>
                <w:szCs w:val="22"/>
              </w:rPr>
            </w:pPr>
            <w:r w:rsidRPr="00CD7EDD">
              <w:rPr>
                <w:rFonts w:asciiTheme="majorHAnsi" w:hAnsiTheme="majorHAnsi" w:cstheme="minorHAnsi"/>
                <w:b/>
                <w:sz w:val="22"/>
                <w:szCs w:val="22"/>
              </w:rPr>
              <w:t>Lernkompetenz</w:t>
            </w:r>
          </w:p>
        </w:tc>
        <w:tc>
          <w:tcPr>
            <w:tcW w:w="2398" w:type="dxa"/>
          </w:tcPr>
          <w:p w:rsidR="00CD7EDD" w:rsidRPr="00CD7EDD" w:rsidRDefault="00CD7EDD" w:rsidP="00450308">
            <w:pPr>
              <w:rPr>
                <w:rFonts w:asciiTheme="majorHAnsi" w:hAnsiTheme="majorHAnsi" w:cstheme="minorHAnsi"/>
                <w:b/>
                <w:sz w:val="22"/>
                <w:szCs w:val="22"/>
              </w:rPr>
            </w:pPr>
            <w:r w:rsidRPr="00CD7EDD">
              <w:rPr>
                <w:rFonts w:asciiTheme="majorHAnsi" w:hAnsiTheme="majorHAnsi" w:cstheme="minorHAnsi"/>
                <w:b/>
                <w:sz w:val="22"/>
                <w:szCs w:val="22"/>
              </w:rPr>
              <w:t>Ziele, Kompetenzen</w:t>
            </w:r>
          </w:p>
        </w:tc>
      </w:tr>
      <w:tr w:rsidR="00CD7EDD" w:rsidRPr="00CD7EDD" w:rsidTr="00450308">
        <w:tc>
          <w:tcPr>
            <w:tcW w:w="3018"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Unterrichtsvorbereitung</w:t>
            </w:r>
          </w:p>
        </w:tc>
        <w:tc>
          <w:tcPr>
            <w:tcW w:w="3640"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 xml:space="preserve">z.B. Lektüre, Recherche, Quellensuche, Materialbeschaffung, </w:t>
            </w:r>
          </w:p>
        </w:tc>
        <w:tc>
          <w:tcPr>
            <w:tcW w:w="2398" w:type="dxa"/>
            <w:vMerge w:val="restart"/>
            <w:vAlign w:val="center"/>
          </w:tcPr>
          <w:p w:rsidR="00CD7EDD" w:rsidRPr="00CD7EDD" w:rsidRDefault="00CD7EDD" w:rsidP="00450308">
            <w:pPr>
              <w:spacing w:before="60" w:line="276" w:lineRule="auto"/>
              <w:jc w:val="center"/>
              <w:rPr>
                <w:rFonts w:asciiTheme="majorHAnsi" w:hAnsiTheme="majorHAnsi" w:cstheme="minorHAnsi"/>
                <w:sz w:val="22"/>
                <w:szCs w:val="22"/>
              </w:rPr>
            </w:pPr>
            <w:r w:rsidRPr="00CD7EDD">
              <w:rPr>
                <w:rFonts w:asciiTheme="majorHAnsi" w:hAnsiTheme="majorHAnsi" w:cstheme="minorHAnsi"/>
                <w:sz w:val="22"/>
                <w:szCs w:val="22"/>
              </w:rPr>
              <w:t xml:space="preserve">Selbstregulation: </w:t>
            </w:r>
          </w:p>
          <w:p w:rsidR="00CD7EDD" w:rsidRPr="00CD7EDD" w:rsidRDefault="00CD7EDD" w:rsidP="00450308">
            <w:pPr>
              <w:spacing w:before="60" w:line="276" w:lineRule="auto"/>
              <w:jc w:val="center"/>
              <w:rPr>
                <w:rFonts w:asciiTheme="majorHAnsi" w:hAnsiTheme="majorHAnsi" w:cstheme="majorHAnsi"/>
                <w:sz w:val="22"/>
                <w:szCs w:val="22"/>
              </w:rPr>
            </w:pPr>
            <w:r w:rsidRPr="00CD7EDD">
              <w:rPr>
                <w:rFonts w:asciiTheme="majorHAnsi" w:hAnsiTheme="majorHAnsi" w:cstheme="majorHAnsi"/>
                <w:sz w:val="22"/>
                <w:szCs w:val="22"/>
              </w:rPr>
              <w:t>Selbstorganisation</w:t>
            </w:r>
          </w:p>
          <w:p w:rsidR="00CD7EDD" w:rsidRPr="00CD7EDD" w:rsidRDefault="00CD7EDD" w:rsidP="00450308">
            <w:pPr>
              <w:spacing w:before="60" w:line="276" w:lineRule="auto"/>
              <w:jc w:val="center"/>
              <w:rPr>
                <w:rFonts w:asciiTheme="majorHAnsi" w:hAnsiTheme="majorHAnsi" w:cstheme="majorHAnsi"/>
                <w:sz w:val="22"/>
                <w:szCs w:val="22"/>
              </w:rPr>
            </w:pPr>
            <w:r w:rsidRPr="00CD7EDD">
              <w:rPr>
                <w:rFonts w:asciiTheme="majorHAnsi" w:hAnsiTheme="majorHAnsi" w:cstheme="majorHAnsi"/>
                <w:sz w:val="22"/>
                <w:szCs w:val="22"/>
              </w:rPr>
              <w:t>Selbstwirksamkeit</w:t>
            </w:r>
          </w:p>
          <w:p w:rsidR="00CD7EDD" w:rsidRPr="00CD7EDD" w:rsidRDefault="00CD7EDD" w:rsidP="00450308">
            <w:pPr>
              <w:spacing w:before="60" w:line="276" w:lineRule="auto"/>
              <w:jc w:val="center"/>
              <w:rPr>
                <w:rFonts w:asciiTheme="majorHAnsi" w:hAnsiTheme="majorHAnsi" w:cstheme="majorHAnsi"/>
                <w:sz w:val="22"/>
                <w:szCs w:val="22"/>
              </w:rPr>
            </w:pPr>
            <w:r w:rsidRPr="00CD7EDD">
              <w:rPr>
                <w:rFonts w:asciiTheme="majorHAnsi" w:hAnsiTheme="majorHAnsi" w:cstheme="majorHAnsi"/>
                <w:sz w:val="22"/>
                <w:szCs w:val="22"/>
              </w:rPr>
              <w:t>Selbstüberprüfung</w:t>
            </w:r>
          </w:p>
          <w:p w:rsidR="00CD7EDD" w:rsidRPr="00CD7EDD" w:rsidRDefault="00CD7EDD" w:rsidP="00450308">
            <w:pPr>
              <w:spacing w:before="60" w:line="276" w:lineRule="auto"/>
              <w:jc w:val="center"/>
              <w:rPr>
                <w:rFonts w:asciiTheme="majorHAnsi" w:hAnsiTheme="majorHAnsi" w:cstheme="majorHAnsi"/>
                <w:sz w:val="22"/>
                <w:szCs w:val="22"/>
              </w:rPr>
            </w:pPr>
            <w:r w:rsidRPr="00CD7EDD">
              <w:rPr>
                <w:rFonts w:asciiTheme="majorHAnsi" w:hAnsiTheme="majorHAnsi" w:cstheme="majorHAnsi"/>
                <w:sz w:val="22"/>
                <w:szCs w:val="22"/>
              </w:rPr>
              <w:t>Selbstmotivation</w:t>
            </w:r>
          </w:p>
          <w:p w:rsidR="00CD7EDD" w:rsidRPr="00CD7EDD" w:rsidRDefault="00CD7EDD" w:rsidP="00450308">
            <w:pPr>
              <w:spacing w:before="60"/>
              <w:jc w:val="center"/>
              <w:rPr>
                <w:rFonts w:asciiTheme="majorHAnsi" w:hAnsiTheme="majorHAnsi" w:cstheme="majorHAnsi"/>
                <w:sz w:val="22"/>
                <w:szCs w:val="22"/>
              </w:rPr>
            </w:pPr>
          </w:p>
        </w:tc>
      </w:tr>
      <w:tr w:rsidR="00CD7EDD" w:rsidRPr="00CD7EDD" w:rsidTr="00450308">
        <w:tc>
          <w:tcPr>
            <w:tcW w:w="3018"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Unterrichtsbegleitendes Üben und Vertiefen</w:t>
            </w:r>
          </w:p>
        </w:tc>
        <w:tc>
          <w:tcPr>
            <w:tcW w:w="3640"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Texte schreiben, Regeln formulieren,</w:t>
            </w:r>
          </w:p>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Kann-Liste für Klassenarbeiten erstellen</w:t>
            </w:r>
          </w:p>
        </w:tc>
        <w:tc>
          <w:tcPr>
            <w:tcW w:w="2398" w:type="dxa"/>
            <w:vMerge/>
          </w:tcPr>
          <w:p w:rsidR="00CD7EDD" w:rsidRPr="00CD7EDD" w:rsidRDefault="00CD7EDD" w:rsidP="00450308">
            <w:pPr>
              <w:rPr>
                <w:rFonts w:asciiTheme="majorHAnsi" w:hAnsiTheme="majorHAnsi" w:cstheme="majorHAnsi"/>
                <w:sz w:val="22"/>
                <w:szCs w:val="22"/>
              </w:rPr>
            </w:pPr>
          </w:p>
        </w:tc>
      </w:tr>
      <w:tr w:rsidR="00CD7EDD" w:rsidRPr="00CD7EDD" w:rsidTr="00450308">
        <w:tc>
          <w:tcPr>
            <w:tcW w:w="3018"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Üben/Festigen</w:t>
            </w:r>
          </w:p>
        </w:tc>
        <w:tc>
          <w:tcPr>
            <w:tcW w:w="3640"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Sprachen: Grammatik, Vokabeln, Anwenden bekannter Lösungswege</w:t>
            </w:r>
          </w:p>
        </w:tc>
        <w:tc>
          <w:tcPr>
            <w:tcW w:w="2398" w:type="dxa"/>
            <w:vMerge/>
          </w:tcPr>
          <w:p w:rsidR="00CD7EDD" w:rsidRPr="00CD7EDD" w:rsidRDefault="00CD7EDD" w:rsidP="00450308">
            <w:pPr>
              <w:rPr>
                <w:rFonts w:asciiTheme="majorHAnsi" w:hAnsiTheme="majorHAnsi" w:cstheme="majorHAnsi"/>
                <w:sz w:val="22"/>
                <w:szCs w:val="22"/>
              </w:rPr>
            </w:pPr>
          </w:p>
        </w:tc>
      </w:tr>
      <w:tr w:rsidR="00CD7EDD" w:rsidRPr="00CD7EDD" w:rsidTr="00450308">
        <w:tc>
          <w:tcPr>
            <w:tcW w:w="3018"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Anwenden und Transfer</w:t>
            </w:r>
          </w:p>
        </w:tc>
        <w:tc>
          <w:tcPr>
            <w:tcW w:w="3640"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Begründungsaufgaben, kritisches Beurteilen, Stellung nehmen, komplexere Lösungsbeispiele etc.</w:t>
            </w:r>
          </w:p>
        </w:tc>
        <w:tc>
          <w:tcPr>
            <w:tcW w:w="2398" w:type="dxa"/>
            <w:vMerge/>
          </w:tcPr>
          <w:p w:rsidR="00CD7EDD" w:rsidRPr="00CD7EDD" w:rsidRDefault="00CD7EDD" w:rsidP="00450308">
            <w:pPr>
              <w:rPr>
                <w:rFonts w:asciiTheme="majorHAnsi" w:hAnsiTheme="majorHAnsi" w:cstheme="majorHAnsi"/>
                <w:sz w:val="22"/>
                <w:szCs w:val="22"/>
              </w:rPr>
            </w:pPr>
          </w:p>
        </w:tc>
      </w:tr>
      <w:tr w:rsidR="00CD7EDD" w:rsidRPr="00CD7EDD" w:rsidTr="00450308">
        <w:tc>
          <w:tcPr>
            <w:tcW w:w="3018"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Motivation</w:t>
            </w:r>
          </w:p>
        </w:tc>
        <w:tc>
          <w:tcPr>
            <w:tcW w:w="3640" w:type="dxa"/>
          </w:tcPr>
          <w:p w:rsidR="00CD7EDD" w:rsidRPr="00CD7EDD" w:rsidRDefault="00CD7EDD" w:rsidP="00450308">
            <w:pPr>
              <w:rPr>
                <w:rFonts w:asciiTheme="majorHAnsi" w:hAnsiTheme="majorHAnsi" w:cstheme="majorHAnsi"/>
                <w:sz w:val="22"/>
                <w:szCs w:val="22"/>
              </w:rPr>
            </w:pPr>
            <w:r w:rsidRPr="00CD7EDD">
              <w:rPr>
                <w:rFonts w:asciiTheme="majorHAnsi" w:hAnsiTheme="majorHAnsi" w:cstheme="majorHAnsi"/>
                <w:sz w:val="22"/>
                <w:szCs w:val="22"/>
              </w:rPr>
              <w:t>Recherche, Interviews, Thema ausweiten etc.</w:t>
            </w:r>
          </w:p>
        </w:tc>
        <w:tc>
          <w:tcPr>
            <w:tcW w:w="2398" w:type="dxa"/>
            <w:vMerge/>
          </w:tcPr>
          <w:p w:rsidR="00CD7EDD" w:rsidRPr="00CD7EDD" w:rsidRDefault="00CD7EDD" w:rsidP="00450308">
            <w:pPr>
              <w:rPr>
                <w:rFonts w:asciiTheme="majorHAnsi" w:hAnsiTheme="majorHAnsi" w:cstheme="majorHAnsi"/>
                <w:sz w:val="22"/>
                <w:szCs w:val="22"/>
              </w:rPr>
            </w:pPr>
          </w:p>
        </w:tc>
      </w:tr>
    </w:tbl>
    <w:p w:rsidR="00CD7EDD" w:rsidRPr="00CD7EDD" w:rsidRDefault="00CD7EDD" w:rsidP="00CD7EDD">
      <w:pPr>
        <w:spacing w:before="120"/>
        <w:rPr>
          <w:rFonts w:asciiTheme="majorHAnsi" w:hAnsiTheme="majorHAnsi" w:cstheme="minorHAnsi"/>
          <w:i/>
          <w:sz w:val="22"/>
          <w:szCs w:val="22"/>
        </w:rPr>
      </w:pPr>
      <w:r w:rsidRPr="00CD7EDD">
        <w:rPr>
          <w:rFonts w:asciiTheme="majorHAnsi" w:hAnsiTheme="majorHAnsi" w:cstheme="majorHAnsi"/>
          <w:i/>
          <w:sz w:val="22"/>
          <w:szCs w:val="22"/>
        </w:rPr>
        <w:t xml:space="preserve">Tabelle 1: </w:t>
      </w:r>
      <w:r w:rsidRPr="00CD7EDD">
        <w:rPr>
          <w:rFonts w:asciiTheme="majorHAnsi" w:hAnsiTheme="majorHAnsi" w:cstheme="minorHAnsi"/>
          <w:i/>
          <w:sz w:val="22"/>
          <w:szCs w:val="22"/>
        </w:rPr>
        <w:t>Funktionen und Ziele der Lernzeit</w:t>
      </w: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r w:rsidRPr="00CD7EDD">
        <w:rPr>
          <w:rFonts w:asciiTheme="majorHAnsi" w:hAnsiTheme="majorHAnsi" w:cstheme="majorHAnsi"/>
          <w:noProof/>
          <w:sz w:val="22"/>
          <w:szCs w:val="22"/>
        </w:rPr>
        <w:lastRenderedPageBreak/>
        <w:drawing>
          <wp:inline distT="0" distB="0" distL="0" distR="0" wp14:anchorId="4935AC0F" wp14:editId="2B16991C">
            <wp:extent cx="5756910" cy="4651375"/>
            <wp:effectExtent l="12700" t="12700" r="889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fen der Selbstregula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4651375"/>
                    </a:xfrm>
                    <a:prstGeom prst="rect">
                      <a:avLst/>
                    </a:prstGeom>
                    <a:ln w="3175">
                      <a:solidFill>
                        <a:schemeClr val="tx1"/>
                      </a:solidFill>
                    </a:ln>
                  </pic:spPr>
                </pic:pic>
              </a:graphicData>
            </a:graphic>
          </wp:inline>
        </w:drawing>
      </w:r>
    </w:p>
    <w:p w:rsidR="00CD7EDD" w:rsidRPr="00CD7EDD" w:rsidRDefault="00CD7EDD" w:rsidP="00CD7EDD">
      <w:pPr>
        <w:spacing w:before="120"/>
        <w:rPr>
          <w:rFonts w:asciiTheme="majorHAnsi" w:hAnsiTheme="majorHAnsi" w:cstheme="minorHAnsi"/>
          <w:i/>
          <w:sz w:val="22"/>
          <w:szCs w:val="22"/>
        </w:rPr>
      </w:pPr>
      <w:r w:rsidRPr="00CD7EDD">
        <w:rPr>
          <w:rFonts w:asciiTheme="majorHAnsi" w:hAnsiTheme="majorHAnsi" w:cstheme="majorHAnsi"/>
          <w:i/>
          <w:sz w:val="22"/>
          <w:szCs w:val="22"/>
        </w:rPr>
        <w:t xml:space="preserve">Abbildung 1: </w:t>
      </w:r>
      <w:r w:rsidRPr="00CD7EDD">
        <w:rPr>
          <w:rFonts w:asciiTheme="majorHAnsi" w:hAnsiTheme="majorHAnsi" w:cstheme="minorHAnsi"/>
          <w:i/>
          <w:sz w:val="22"/>
          <w:szCs w:val="22"/>
        </w:rPr>
        <w:t xml:space="preserve"> Stufen der Selbstregulation</w:t>
      </w: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Default="00CD7EDD" w:rsidP="00CD7EDD">
      <w:pPr>
        <w:spacing w:before="120"/>
        <w:rPr>
          <w:rFonts w:asciiTheme="majorHAnsi" w:hAnsiTheme="majorHAnsi" w:cstheme="majorHAnsi"/>
          <w:sz w:val="22"/>
          <w:szCs w:val="22"/>
        </w:rPr>
      </w:pPr>
    </w:p>
    <w:p w:rsid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rPr>
          <w:rFonts w:asciiTheme="majorHAnsi" w:hAnsiTheme="majorHAnsi" w:cstheme="majorHAnsi"/>
          <w:sz w:val="22"/>
          <w:szCs w:val="22"/>
        </w:rPr>
      </w:pPr>
    </w:p>
    <w:p w:rsidR="00CD7EDD" w:rsidRPr="00CD7EDD" w:rsidRDefault="00CD7EDD" w:rsidP="00CD7EDD">
      <w:pPr>
        <w:spacing w:before="120"/>
        <w:jc w:val="both"/>
        <w:outlineLvl w:val="0"/>
        <w:rPr>
          <w:rStyle w:val="Fett"/>
          <w:rFonts w:ascii="Cambria" w:hAnsi="Cambria"/>
          <w:sz w:val="20"/>
          <w:szCs w:val="20"/>
          <w:u w:val="single"/>
        </w:rPr>
      </w:pPr>
      <w:r w:rsidRPr="00CD7EDD">
        <w:rPr>
          <w:rStyle w:val="Fett"/>
          <w:rFonts w:ascii="Cambria" w:hAnsi="Cambria"/>
          <w:sz w:val="20"/>
          <w:szCs w:val="20"/>
          <w:u w:val="single"/>
        </w:rPr>
        <w:t>Rechtliche Grundlagen</w:t>
      </w:r>
    </w:p>
    <w:p w:rsidR="00CD7EDD" w:rsidRPr="00CD7EDD" w:rsidRDefault="00CD7EDD" w:rsidP="00CD7EDD">
      <w:pPr>
        <w:spacing w:before="120"/>
        <w:jc w:val="both"/>
        <w:outlineLvl w:val="0"/>
        <w:rPr>
          <w:rStyle w:val="Fett"/>
          <w:rFonts w:ascii="Cambria" w:hAnsi="Cambria"/>
          <w:b w:val="0"/>
          <w:sz w:val="20"/>
          <w:szCs w:val="20"/>
        </w:rPr>
      </w:pPr>
      <w:r w:rsidRPr="00CD7EDD">
        <w:rPr>
          <w:rStyle w:val="Fett"/>
          <w:rFonts w:ascii="Cambria" w:hAnsi="Cambria"/>
          <w:b w:val="0"/>
          <w:sz w:val="20"/>
          <w:szCs w:val="20"/>
        </w:rPr>
        <w:t>Einen wesentlichen Rahmen, wie Schulunterricht und Hausaufgaben einander ergänzen, stellt in Hessen die „Verordnung zur Gestaltung des Schulverhältnis“ dar. Die in Anlage 2 zu dieser Verordnung festgelegten „Richtlinien für Leistungsnachweise“ ergänzen sie.</w:t>
      </w:r>
    </w:p>
    <w:p w:rsidR="00CD7EDD" w:rsidRPr="00CD7EDD" w:rsidRDefault="00CD7EDD" w:rsidP="00CD7EDD">
      <w:pPr>
        <w:spacing w:before="240"/>
        <w:jc w:val="both"/>
        <w:outlineLvl w:val="0"/>
        <w:rPr>
          <w:rStyle w:val="Fett"/>
          <w:rFonts w:ascii="Cambria" w:hAnsi="Cambria"/>
          <w:b w:val="0"/>
          <w:sz w:val="20"/>
          <w:szCs w:val="20"/>
        </w:rPr>
      </w:pPr>
      <w:r w:rsidRPr="00CD7EDD">
        <w:rPr>
          <w:rStyle w:val="Fett"/>
          <w:rFonts w:ascii="Cambria" w:hAnsi="Cambria"/>
          <w:b w:val="0"/>
          <w:sz w:val="20"/>
          <w:szCs w:val="20"/>
        </w:rPr>
        <w:t>§ 35 VOGSV – Hausaufgaben</w:t>
      </w:r>
    </w:p>
    <w:p w:rsidR="00CD7EDD" w:rsidRPr="00CD7EDD" w:rsidRDefault="00CD7EDD" w:rsidP="00CD7EDD">
      <w:pPr>
        <w:spacing w:before="120"/>
        <w:jc w:val="both"/>
        <w:rPr>
          <w:rStyle w:val="Fett"/>
          <w:rFonts w:ascii="Cambria" w:hAnsi="Cambria"/>
          <w:b w:val="0"/>
          <w:sz w:val="20"/>
          <w:szCs w:val="20"/>
        </w:rPr>
      </w:pPr>
      <w:r w:rsidRPr="00CD7EDD">
        <w:rPr>
          <w:rStyle w:val="Fett"/>
          <w:rFonts w:ascii="Cambria" w:hAnsi="Cambria"/>
          <w:b w:val="0"/>
          <w:sz w:val="20"/>
          <w:szCs w:val="20"/>
        </w:rPr>
        <w:t>(1) 1Das Schwergewicht der Arbeit der Schule liegt im Unterricht. 2Hausaufgaben ergänzen die Unterrichtsarbeit durch Verarbeitung und Vertiefung von Einsichten und durch Anwendung von Kenntnissen und Fertigkeiten. 3Sie können auch zur Vorbereitung neuer Unterrichtsstoffe dienen, sofern die altersmäßigen Voraussetzungen und Befähigungen der Schülerinnen und Schüler dies zulassen. 4Hausaufgaben sind bei der Leistungsbeurteilung angemessen zu berücksichtigen.</w:t>
      </w:r>
    </w:p>
    <w:p w:rsidR="00CD7EDD" w:rsidRPr="00CD7EDD" w:rsidRDefault="00CD7EDD" w:rsidP="00CD7EDD">
      <w:pPr>
        <w:spacing w:before="120"/>
        <w:jc w:val="both"/>
        <w:rPr>
          <w:rStyle w:val="Fett"/>
          <w:rFonts w:ascii="Cambria" w:hAnsi="Cambria"/>
          <w:b w:val="0"/>
          <w:sz w:val="20"/>
          <w:szCs w:val="20"/>
        </w:rPr>
      </w:pPr>
      <w:r w:rsidRPr="00CD7EDD">
        <w:rPr>
          <w:rStyle w:val="Fett"/>
          <w:rFonts w:ascii="Cambria" w:hAnsi="Cambria"/>
          <w:b w:val="0"/>
          <w:sz w:val="20"/>
          <w:szCs w:val="20"/>
        </w:rPr>
        <w:t>(2) 1Umfang, Art und Schwierigkeitsgrad der Hausaufgaben sollen dem Alter und dem Leistungsvermögen der Schülerinnen und Schüler angepasst sein. 2Hausaufgaben sollen so vorbereitet und gestellt werden, dass sie ohne außerschulische Hilfe in angemessener Zeit bewältigt werden können. 3Bei der Erteilung von Hausaufgaben soll die tägliche Gesamtbelastung der Schülerinnen und Schüler und ihr Recht auf individuell nutzbare Freizeit angemessen berücksichtigt werden. 4Die Schulkonferenz beschließt auf dieser Grundlage Grundsätze für die Hausaufgaben im Rahmen eines schuleigenen Konzepts (</w:t>
      </w:r>
      <w:hyperlink r:id="rId9" w:anchor="docid:169561,137" w:tooltip="§ 129 HSchG, Entscheidungsrechte" w:history="1">
        <w:r w:rsidRPr="00CD7EDD">
          <w:rPr>
            <w:rStyle w:val="Fett"/>
            <w:rFonts w:ascii="Cambria" w:hAnsi="Cambria"/>
            <w:b w:val="0"/>
            <w:sz w:val="20"/>
            <w:szCs w:val="20"/>
          </w:rPr>
          <w:t>§ 129 Nr. 5 Hessisches Schulgesetz</w:t>
        </w:r>
      </w:hyperlink>
      <w:r w:rsidRPr="00CD7EDD">
        <w:rPr>
          <w:rStyle w:val="Fett"/>
          <w:rFonts w:ascii="Cambria" w:hAnsi="Cambria"/>
          <w:b w:val="0"/>
          <w:sz w:val="20"/>
          <w:szCs w:val="20"/>
        </w:rPr>
        <w:t>). 5Die Klassenkonferenz oder die Lehrkräfte einer Lerngruppe stimmen sich über den Umfang der Hausaufgaben untereinander ab (</w:t>
      </w:r>
      <w:hyperlink r:id="rId10" w:anchor="docid:169561,143" w:tooltip="§ 135 HSchG, Klassenkonferenzen" w:history="1">
        <w:r w:rsidRPr="00CD7EDD">
          <w:rPr>
            <w:rStyle w:val="Fett"/>
            <w:rFonts w:ascii="Cambria" w:hAnsi="Cambria"/>
            <w:b w:val="0"/>
            <w:sz w:val="20"/>
            <w:szCs w:val="20"/>
          </w:rPr>
          <w:t>§ 135 Abs. 1 Nr. 3 Hessisches Schulgesetz</w:t>
        </w:r>
      </w:hyperlink>
      <w:r w:rsidRPr="00CD7EDD">
        <w:rPr>
          <w:rStyle w:val="Fett"/>
          <w:rFonts w:ascii="Cambria" w:hAnsi="Cambria"/>
          <w:b w:val="0"/>
          <w:sz w:val="20"/>
          <w:szCs w:val="20"/>
        </w:rPr>
        <w:t>).</w:t>
      </w:r>
    </w:p>
    <w:p w:rsidR="00CD7EDD" w:rsidRPr="00CD7EDD" w:rsidRDefault="00CD7EDD" w:rsidP="00CD7EDD">
      <w:pPr>
        <w:spacing w:before="120"/>
        <w:jc w:val="both"/>
        <w:rPr>
          <w:rStyle w:val="Fett"/>
          <w:rFonts w:ascii="Cambria" w:hAnsi="Cambria"/>
          <w:b w:val="0"/>
          <w:sz w:val="20"/>
          <w:szCs w:val="20"/>
        </w:rPr>
      </w:pPr>
      <w:r w:rsidRPr="00CD7EDD">
        <w:rPr>
          <w:rStyle w:val="Fett"/>
          <w:rFonts w:ascii="Cambria" w:hAnsi="Cambria"/>
          <w:b w:val="0"/>
          <w:sz w:val="20"/>
          <w:szCs w:val="20"/>
        </w:rPr>
        <w:t>(3) 1Hausaufgaben sind in den Unterricht einzubeziehen und zumindest stichprobenweise regelmäßig zu überprüfen. 2Ein schriftliches Abfragen der Hausaufgaben, beispielsweise in der Form von Vokabelarbeiten, ist zulässig, wenn es sich auf die Hausaufgaben der letzten Unterrichtswoche bezieht, nicht länger als 15 Minuten dauert und nicht die Regel darstellt.</w:t>
      </w:r>
    </w:p>
    <w:p w:rsidR="00CD7EDD" w:rsidRPr="00CD7EDD" w:rsidRDefault="00CD7EDD" w:rsidP="00CD7EDD">
      <w:pPr>
        <w:pStyle w:val="StandardWeb"/>
        <w:spacing w:before="120" w:beforeAutospacing="0" w:after="0" w:afterAutospacing="0"/>
        <w:jc w:val="both"/>
        <w:rPr>
          <w:rStyle w:val="Fett"/>
          <w:rFonts w:ascii="Cambria" w:hAnsi="Cambria"/>
          <w:b w:val="0"/>
          <w:sz w:val="20"/>
          <w:szCs w:val="20"/>
        </w:rPr>
      </w:pPr>
      <w:r w:rsidRPr="00CD7EDD">
        <w:rPr>
          <w:rStyle w:val="Fett"/>
          <w:rFonts w:ascii="Cambria" w:hAnsi="Cambria"/>
          <w:b w:val="0"/>
          <w:sz w:val="20"/>
          <w:szCs w:val="20"/>
        </w:rPr>
        <w:t xml:space="preserve">(4) 1Findet am Samstag Unterricht statt, werden in den Jahrgangsstufen 1 bis 9 vom Samstag zum darauf folgenden Montag keine Hausaufgaben gestellt. 2Dies gilt auch von Freitag auf Montag, wenn am Freitag Unterricht nach 14:00 Uhr stattfindet. 3In der Grund- und Mittelstufe dürfen von einem Tag mit Unterricht nach 14:00 Uhr zu einem nächsten Tag mit Vormittagsunterricht keine Hausaufgaben erteilt werden. 4Eine von der Schulkonferenz einer Schule nach </w:t>
      </w:r>
      <w:hyperlink r:id="rId11" w:anchor="docid:169561,137" w:tooltip="§ 129 HSchG, Entscheidungsrechte" w:history="1">
        <w:r w:rsidRPr="00CD7EDD">
          <w:rPr>
            <w:rStyle w:val="Fett"/>
            <w:rFonts w:ascii="Cambria" w:hAnsi="Cambria"/>
            <w:b w:val="0"/>
            <w:sz w:val="20"/>
            <w:szCs w:val="20"/>
          </w:rPr>
          <w:t>§ 129 Nr. 5 des Hessischen Schulgesetzes</w:t>
        </w:r>
      </w:hyperlink>
      <w:r w:rsidRPr="00CD7EDD">
        <w:rPr>
          <w:rStyle w:val="Fett"/>
          <w:rFonts w:ascii="Cambria" w:hAnsi="Cambria"/>
          <w:b w:val="0"/>
          <w:sz w:val="20"/>
          <w:szCs w:val="20"/>
        </w:rPr>
        <w:t xml:space="preserve"> beschlossene abweichende Regelung bleibt unberührt.</w:t>
      </w:r>
    </w:p>
    <w:p w:rsidR="00CD7EDD" w:rsidRPr="00CD7EDD" w:rsidRDefault="00CD7EDD" w:rsidP="00CD7EDD">
      <w:pPr>
        <w:pStyle w:val="StandardWeb"/>
        <w:spacing w:before="120" w:beforeAutospacing="0" w:after="0" w:afterAutospacing="0"/>
        <w:jc w:val="both"/>
        <w:rPr>
          <w:rStyle w:val="Fett"/>
          <w:rFonts w:ascii="Cambria" w:hAnsi="Cambria"/>
          <w:b w:val="0"/>
          <w:sz w:val="20"/>
          <w:szCs w:val="20"/>
        </w:rPr>
      </w:pPr>
      <w:r w:rsidRPr="00CD7EDD">
        <w:rPr>
          <w:rStyle w:val="Fett"/>
          <w:rFonts w:ascii="Cambria" w:hAnsi="Cambria"/>
          <w:b w:val="0"/>
          <w:sz w:val="20"/>
          <w:szCs w:val="20"/>
        </w:rPr>
        <w:t>(5) Über die Ferien sollen keine Hausaufgaben gegeben werden.</w:t>
      </w:r>
    </w:p>
    <w:p w:rsidR="00CD7EDD" w:rsidRPr="00CD7EDD" w:rsidRDefault="00CD7EDD" w:rsidP="00CD7EDD">
      <w:pPr>
        <w:spacing w:before="120"/>
        <w:jc w:val="both"/>
        <w:rPr>
          <w:rStyle w:val="Fett"/>
          <w:rFonts w:ascii="Cambria" w:hAnsi="Cambria"/>
          <w:b w:val="0"/>
          <w:sz w:val="20"/>
          <w:szCs w:val="20"/>
        </w:rPr>
      </w:pPr>
    </w:p>
    <w:p w:rsidR="00CD7EDD" w:rsidRPr="00CD7EDD" w:rsidRDefault="00CD7EDD" w:rsidP="00CD7EDD">
      <w:pPr>
        <w:spacing w:before="120"/>
        <w:jc w:val="both"/>
        <w:rPr>
          <w:rStyle w:val="Fett"/>
          <w:rFonts w:ascii="Cambria" w:hAnsi="Cambria"/>
          <w:b w:val="0"/>
          <w:sz w:val="20"/>
          <w:szCs w:val="20"/>
        </w:rPr>
      </w:pPr>
      <w:r w:rsidRPr="00CD7EDD">
        <w:rPr>
          <w:rStyle w:val="Fett"/>
          <w:rFonts w:ascii="Cambria" w:hAnsi="Cambria"/>
          <w:b w:val="0"/>
          <w:sz w:val="20"/>
          <w:szCs w:val="20"/>
        </w:rPr>
        <w:t>Anlage 2 VOGSV</w:t>
      </w:r>
      <w:r>
        <w:rPr>
          <w:rStyle w:val="Fett"/>
          <w:rFonts w:ascii="Cambria" w:hAnsi="Cambria"/>
          <w:b w:val="0"/>
          <w:sz w:val="20"/>
          <w:szCs w:val="20"/>
        </w:rPr>
        <w:t xml:space="preserve"> V</w:t>
      </w:r>
      <w:r w:rsidRPr="00CD7EDD">
        <w:rPr>
          <w:rStyle w:val="Fett"/>
          <w:rFonts w:ascii="Cambria" w:hAnsi="Cambria"/>
          <w:b w:val="0"/>
          <w:sz w:val="20"/>
          <w:szCs w:val="20"/>
        </w:rPr>
        <w:t>erordnung zur Gestaltung des Schulverhältnisses (VOGSV)</w:t>
      </w:r>
    </w:p>
    <w:p w:rsidR="00CD7EDD" w:rsidRPr="00CD7EDD" w:rsidRDefault="00CD7EDD" w:rsidP="00CD7EDD">
      <w:pPr>
        <w:spacing w:before="120"/>
        <w:jc w:val="both"/>
        <w:rPr>
          <w:rStyle w:val="Fett"/>
          <w:rFonts w:ascii="Cambria" w:hAnsi="Cambria"/>
          <w:sz w:val="20"/>
          <w:szCs w:val="20"/>
        </w:rPr>
      </w:pPr>
      <w:r w:rsidRPr="00CD7EDD">
        <w:rPr>
          <w:rStyle w:val="Fett"/>
          <w:rFonts w:ascii="Cambria" w:hAnsi="Cambria"/>
          <w:sz w:val="20"/>
          <w:szCs w:val="20"/>
        </w:rPr>
        <w:t>Landesrecht Hessen</w:t>
      </w:r>
    </w:p>
    <w:p w:rsidR="00CD7EDD" w:rsidRPr="00CD7EDD" w:rsidRDefault="00CD7EDD" w:rsidP="00CD7EDD">
      <w:pPr>
        <w:spacing w:before="240"/>
        <w:jc w:val="both"/>
        <w:rPr>
          <w:rStyle w:val="Fett"/>
          <w:rFonts w:ascii="Cambria" w:hAnsi="Cambria"/>
          <w:sz w:val="20"/>
          <w:szCs w:val="20"/>
        </w:rPr>
      </w:pPr>
      <w:r w:rsidRPr="00CD7EDD">
        <w:rPr>
          <w:rStyle w:val="Fett"/>
          <w:rFonts w:ascii="Cambria" w:hAnsi="Cambria"/>
          <w:sz w:val="20"/>
          <w:szCs w:val="20"/>
        </w:rPr>
        <w:t xml:space="preserve"> 10. Bestimmungen über Hausaufgaben</w:t>
      </w:r>
    </w:p>
    <w:p w:rsidR="00CD7EDD" w:rsidRPr="00CD7EDD" w:rsidRDefault="00CD7EDD" w:rsidP="00CD7EDD">
      <w:pPr>
        <w:spacing w:before="120"/>
        <w:ind w:left="426"/>
        <w:jc w:val="both"/>
        <w:rPr>
          <w:rFonts w:ascii="Cambria" w:hAnsi="Cambria" w:cs="Calibri"/>
          <w:sz w:val="20"/>
          <w:szCs w:val="20"/>
        </w:rPr>
      </w:pPr>
      <w:r w:rsidRPr="00CD7EDD">
        <w:rPr>
          <w:rFonts w:ascii="Cambria" w:hAnsi="Cambria" w:cstheme="minorHAnsi"/>
          <w:sz w:val="20"/>
          <w:szCs w:val="20"/>
        </w:rPr>
        <w:t xml:space="preserve">a) </w:t>
      </w:r>
      <w:r w:rsidRPr="00CD7EDD">
        <w:rPr>
          <w:rFonts w:ascii="Cambria" w:hAnsi="Cambria" w:cstheme="minorHAnsi"/>
          <w:sz w:val="20"/>
          <w:szCs w:val="20"/>
          <w:vertAlign w:val="superscript"/>
        </w:rPr>
        <w:t>1</w:t>
      </w:r>
      <w:r w:rsidRPr="00CD7EDD">
        <w:rPr>
          <w:rFonts w:ascii="Cambria" w:hAnsi="Cambria" w:cstheme="minorHAnsi"/>
          <w:sz w:val="20"/>
          <w:szCs w:val="20"/>
        </w:rPr>
        <w:t xml:space="preserve">Das schuleigene Konzept für die Hausaufgaben nach § 35 Abs. 2 soll methodische und didaktische Verknüpfungen mit dem Unterricht vorsehen und das selbstständige Arbeiten </w:t>
      </w:r>
      <w:r w:rsidRPr="00CD7EDD">
        <w:rPr>
          <w:rFonts w:ascii="Cambria" w:hAnsi="Cambria" w:cs="Calibri"/>
          <w:sz w:val="20"/>
          <w:szCs w:val="20"/>
        </w:rPr>
        <w:t xml:space="preserve">und Lernen der Schülerinnen und Schüler fördern. </w:t>
      </w:r>
      <w:r w:rsidRPr="00CD7EDD">
        <w:rPr>
          <w:rFonts w:ascii="Cambria" w:hAnsi="Cambria" w:cs="Calibri"/>
          <w:sz w:val="20"/>
          <w:szCs w:val="20"/>
          <w:vertAlign w:val="superscript"/>
        </w:rPr>
        <w:t>2</w:t>
      </w:r>
      <w:r w:rsidRPr="00CD7EDD">
        <w:rPr>
          <w:rFonts w:ascii="Cambria" w:hAnsi="Cambria" w:cs="Calibri"/>
          <w:sz w:val="20"/>
          <w:szCs w:val="20"/>
        </w:rPr>
        <w:t>Die Belastung durch die Hausaufgaben soll altersangemessen sein.</w:t>
      </w:r>
    </w:p>
    <w:p w:rsidR="00CD7EDD" w:rsidRPr="00CD7EDD" w:rsidRDefault="00CD7EDD" w:rsidP="00CD7EDD">
      <w:pPr>
        <w:spacing w:before="120"/>
        <w:ind w:left="426"/>
        <w:jc w:val="both"/>
        <w:rPr>
          <w:rFonts w:ascii="Cambria" w:hAnsi="Cambria" w:cs="Calibri"/>
          <w:sz w:val="20"/>
          <w:szCs w:val="20"/>
        </w:rPr>
      </w:pPr>
      <w:r w:rsidRPr="00CD7EDD">
        <w:rPr>
          <w:rFonts w:ascii="Cambria" w:hAnsi="Cambria" w:cs="Calibri"/>
          <w:sz w:val="20"/>
          <w:szCs w:val="20"/>
        </w:rPr>
        <w:t>b) Nach Möglichkeit sollen der Samstag und der Sonntag arbeitsfrei bleiben.</w:t>
      </w:r>
    </w:p>
    <w:p w:rsidR="00CD7EDD" w:rsidRPr="00CD7EDD" w:rsidRDefault="00CD7EDD" w:rsidP="00CD7EDD">
      <w:pPr>
        <w:spacing w:before="120"/>
        <w:ind w:left="426"/>
        <w:jc w:val="both"/>
        <w:rPr>
          <w:rFonts w:ascii="Cambria" w:hAnsi="Cambria" w:cs="Calibri"/>
          <w:sz w:val="20"/>
          <w:szCs w:val="20"/>
        </w:rPr>
      </w:pPr>
      <w:r w:rsidRPr="00CD7EDD">
        <w:rPr>
          <w:rFonts w:ascii="Cambria" w:hAnsi="Cambria" w:cs="Calibri"/>
          <w:sz w:val="20"/>
          <w:szCs w:val="20"/>
        </w:rPr>
        <w:t xml:space="preserve">c) </w:t>
      </w:r>
      <w:r w:rsidRPr="00CD7EDD">
        <w:rPr>
          <w:rFonts w:ascii="Cambria" w:hAnsi="Cambria" w:cs="Calibri"/>
          <w:sz w:val="20"/>
          <w:szCs w:val="20"/>
          <w:vertAlign w:val="superscript"/>
        </w:rPr>
        <w:t>1</w:t>
      </w:r>
      <w:r w:rsidRPr="00CD7EDD">
        <w:rPr>
          <w:rFonts w:ascii="Cambria" w:hAnsi="Cambria" w:cs="Calibri"/>
          <w:sz w:val="20"/>
          <w:szCs w:val="20"/>
        </w:rPr>
        <w:t xml:space="preserve">Das Thema "Hausaufgaben“ soll auf Versammlungen der Klassenelternschaft mit den Eltern erörtert werden. </w:t>
      </w:r>
      <w:r w:rsidRPr="00CD7EDD">
        <w:rPr>
          <w:rFonts w:ascii="Cambria" w:hAnsi="Cambria" w:cs="Calibri"/>
          <w:sz w:val="20"/>
          <w:szCs w:val="20"/>
          <w:vertAlign w:val="superscript"/>
        </w:rPr>
        <w:t>2</w:t>
      </w:r>
      <w:r w:rsidRPr="00CD7EDD">
        <w:rPr>
          <w:rFonts w:ascii="Cambria" w:hAnsi="Cambria" w:cs="Calibri"/>
          <w:sz w:val="20"/>
          <w:szCs w:val="20"/>
        </w:rPr>
        <w:t>Hierbei sollen den Eltern von den Lehrerinnen und Lehrern auch Informationen und Hilfen gegeben werden, die geeignet sind, zum besseren Verständnis der Hausaufgaben und ihrer pädagogischen Zielsetzung beizutragen.</w:t>
      </w:r>
    </w:p>
    <w:p w:rsidR="00FA069D" w:rsidRPr="00CD7EDD" w:rsidRDefault="00FA069D" w:rsidP="00FA069D">
      <w:pPr>
        <w:rPr>
          <w:rFonts w:ascii="Cambria" w:hAnsi="Cambria" w:cs="Arial"/>
          <w:sz w:val="20"/>
          <w:szCs w:val="20"/>
        </w:rPr>
      </w:pPr>
    </w:p>
    <w:sectPr w:rsidR="00FA069D" w:rsidRPr="00CD7EDD">
      <w:footerReference w:type="default" r:id="rId12"/>
      <w:headerReference w:type="first" r:id="rId13"/>
      <w:footerReference w:type="first" r:id="rId14"/>
      <w:type w:val="continuous"/>
      <w:pgSz w:w="11906" w:h="16838" w:code="9"/>
      <w:pgMar w:top="3056" w:right="1418" w:bottom="1134" w:left="1418" w:header="90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CE" w:rsidRDefault="00D328CE">
      <w:r>
        <w:separator/>
      </w:r>
    </w:p>
  </w:endnote>
  <w:endnote w:type="continuationSeparator" w:id="0">
    <w:p w:rsidR="00D328CE" w:rsidRDefault="00D3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A6" w:rsidRDefault="00B372DC">
    <w:pPr>
      <w:pStyle w:val="Fuzeile"/>
    </w:pPr>
    <w:r>
      <w:rPr>
        <w:noProof/>
        <w:sz w:val="20"/>
      </w:rPr>
      <w:drawing>
        <wp:anchor distT="0" distB="0" distL="114300" distR="114300" simplePos="0" relativeHeight="251657728" behindDoc="0" locked="1" layoutInCell="1" allowOverlap="1">
          <wp:simplePos x="0" y="0"/>
          <wp:positionH relativeFrom="column">
            <wp:posOffset>1371600</wp:posOffset>
          </wp:positionH>
          <wp:positionV relativeFrom="page">
            <wp:posOffset>10016490</wp:posOffset>
          </wp:positionV>
          <wp:extent cx="2752725" cy="266700"/>
          <wp:effectExtent l="0" t="0" r="0" b="0"/>
          <wp:wrapNone/>
          <wp:docPr id="30" name="Bild 30" descr="FES-Sloga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ES-Slogan(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A6" w:rsidRDefault="00B372DC">
    <w:pPr>
      <w:pStyle w:val="Fuzeile"/>
    </w:pPr>
    <w:r>
      <w:rPr>
        <w:noProof/>
        <w:sz w:val="20"/>
      </w:rPr>
      <w:drawing>
        <wp:anchor distT="0" distB="0" distL="114300" distR="114300" simplePos="0" relativeHeight="251656704" behindDoc="0" locked="1" layoutInCell="1" allowOverlap="1">
          <wp:simplePos x="0" y="0"/>
          <wp:positionH relativeFrom="column">
            <wp:posOffset>1371600</wp:posOffset>
          </wp:positionH>
          <wp:positionV relativeFrom="page">
            <wp:posOffset>10016490</wp:posOffset>
          </wp:positionV>
          <wp:extent cx="2752725" cy="266700"/>
          <wp:effectExtent l="0" t="0" r="0" b="0"/>
          <wp:wrapNone/>
          <wp:docPr id="29" name="Bild 29" descr="FES-Sloga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ES-Slogan(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CE" w:rsidRDefault="00D328CE">
      <w:r>
        <w:separator/>
      </w:r>
    </w:p>
  </w:footnote>
  <w:footnote w:type="continuationSeparator" w:id="0">
    <w:p w:rsidR="00D328CE" w:rsidRDefault="00D32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A6" w:rsidRDefault="00B372DC">
    <w:pPr>
      <w:pStyle w:val="Kopfzeile"/>
    </w:pPr>
    <w:r>
      <w:rPr>
        <w:noProof/>
        <w:sz w:val="20"/>
      </w:rPr>
      <w:drawing>
        <wp:anchor distT="0" distB="0" distL="114300" distR="114300" simplePos="0" relativeHeight="251658752" behindDoc="0" locked="1" layoutInCell="1" allowOverlap="1">
          <wp:simplePos x="0" y="0"/>
          <wp:positionH relativeFrom="column">
            <wp:posOffset>4914900</wp:posOffset>
          </wp:positionH>
          <wp:positionV relativeFrom="page">
            <wp:posOffset>323850</wp:posOffset>
          </wp:positionV>
          <wp:extent cx="1447800" cy="1447800"/>
          <wp:effectExtent l="0" t="0" r="0" b="0"/>
          <wp:wrapNone/>
          <wp:docPr id="31" name="Bild 31" descr="FES-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ES-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5680" behindDoc="0" locked="1" layoutInCell="1" allowOverlap="1">
          <wp:simplePos x="0" y="0"/>
          <wp:positionH relativeFrom="column">
            <wp:posOffset>-57785</wp:posOffset>
          </wp:positionH>
          <wp:positionV relativeFrom="page">
            <wp:posOffset>565150</wp:posOffset>
          </wp:positionV>
          <wp:extent cx="4276725" cy="571500"/>
          <wp:effectExtent l="0" t="0" r="0" b="0"/>
          <wp:wrapNone/>
          <wp:docPr id="26" name="Bild 26" descr="FES-Kopfzeile(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ES-Kopfzeile(s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67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2385"/>
    <w:multiLevelType w:val="hybridMultilevel"/>
    <w:tmpl w:val="34087964"/>
    <w:lvl w:ilvl="0" w:tplc="83F4B810">
      <w:start w:val="1"/>
      <w:numFmt w:val="decimal"/>
      <w:lvlText w:val="%1."/>
      <w:lvlJc w:val="left"/>
      <w:pPr>
        <w:tabs>
          <w:tab w:val="num" w:pos="360"/>
        </w:tabs>
        <w:ind w:left="360" w:hanging="360"/>
      </w:pPr>
      <w:rPr>
        <w:rFonts w:hint="default"/>
        <w:b/>
        <w:i w:val="0"/>
        <w:sz w:val="24"/>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nsid w:val="1F1119D8"/>
    <w:multiLevelType w:val="hybridMultilevel"/>
    <w:tmpl w:val="438E208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5B470C70"/>
    <w:multiLevelType w:val="multilevel"/>
    <w:tmpl w:val="E1E800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59"/>
    <w:rsid w:val="0003028E"/>
    <w:rsid w:val="000371C0"/>
    <w:rsid w:val="00037AF1"/>
    <w:rsid w:val="00044F5C"/>
    <w:rsid w:val="00071B74"/>
    <w:rsid w:val="00085F9C"/>
    <w:rsid w:val="000937D8"/>
    <w:rsid w:val="000C4153"/>
    <w:rsid w:val="000C58E3"/>
    <w:rsid w:val="000F362B"/>
    <w:rsid w:val="0012572B"/>
    <w:rsid w:val="00136EC1"/>
    <w:rsid w:val="00140532"/>
    <w:rsid w:val="00142336"/>
    <w:rsid w:val="00167D55"/>
    <w:rsid w:val="00196C52"/>
    <w:rsid w:val="001B1B01"/>
    <w:rsid w:val="001B6333"/>
    <w:rsid w:val="001F507E"/>
    <w:rsid w:val="002038F6"/>
    <w:rsid w:val="00220A1F"/>
    <w:rsid w:val="0024363D"/>
    <w:rsid w:val="00246854"/>
    <w:rsid w:val="00277AD9"/>
    <w:rsid w:val="00290D03"/>
    <w:rsid w:val="002D7269"/>
    <w:rsid w:val="0031699C"/>
    <w:rsid w:val="00364E7A"/>
    <w:rsid w:val="00370EAF"/>
    <w:rsid w:val="00371E87"/>
    <w:rsid w:val="003A3063"/>
    <w:rsid w:val="003A5511"/>
    <w:rsid w:val="003D385C"/>
    <w:rsid w:val="003E2687"/>
    <w:rsid w:val="00403F3A"/>
    <w:rsid w:val="00423F32"/>
    <w:rsid w:val="00434A6A"/>
    <w:rsid w:val="00447F1E"/>
    <w:rsid w:val="00456B10"/>
    <w:rsid w:val="0046125E"/>
    <w:rsid w:val="00482853"/>
    <w:rsid w:val="004A7537"/>
    <w:rsid w:val="004B2D83"/>
    <w:rsid w:val="004F252F"/>
    <w:rsid w:val="005064C9"/>
    <w:rsid w:val="005407A6"/>
    <w:rsid w:val="00543839"/>
    <w:rsid w:val="0057656F"/>
    <w:rsid w:val="005D1744"/>
    <w:rsid w:val="005D4B1B"/>
    <w:rsid w:val="005E3579"/>
    <w:rsid w:val="005E35DC"/>
    <w:rsid w:val="0060092A"/>
    <w:rsid w:val="006032C2"/>
    <w:rsid w:val="006214D5"/>
    <w:rsid w:val="00634DF7"/>
    <w:rsid w:val="00662DEA"/>
    <w:rsid w:val="00665605"/>
    <w:rsid w:val="00680D69"/>
    <w:rsid w:val="00681188"/>
    <w:rsid w:val="006932CB"/>
    <w:rsid w:val="006A16F6"/>
    <w:rsid w:val="006A1F69"/>
    <w:rsid w:val="006B0CC0"/>
    <w:rsid w:val="006D6251"/>
    <w:rsid w:val="006E5046"/>
    <w:rsid w:val="00711A11"/>
    <w:rsid w:val="007334DC"/>
    <w:rsid w:val="00755FA9"/>
    <w:rsid w:val="007F0855"/>
    <w:rsid w:val="00826B58"/>
    <w:rsid w:val="00847FF0"/>
    <w:rsid w:val="00854281"/>
    <w:rsid w:val="00867C30"/>
    <w:rsid w:val="00885808"/>
    <w:rsid w:val="00891F2F"/>
    <w:rsid w:val="00895F28"/>
    <w:rsid w:val="008D71D5"/>
    <w:rsid w:val="009072BD"/>
    <w:rsid w:val="009157DA"/>
    <w:rsid w:val="009429B9"/>
    <w:rsid w:val="00950805"/>
    <w:rsid w:val="009510D7"/>
    <w:rsid w:val="00972C68"/>
    <w:rsid w:val="00973806"/>
    <w:rsid w:val="00977159"/>
    <w:rsid w:val="009E1C59"/>
    <w:rsid w:val="009E6A3B"/>
    <w:rsid w:val="00A24DDB"/>
    <w:rsid w:val="00A24ECA"/>
    <w:rsid w:val="00A613D2"/>
    <w:rsid w:val="00A84105"/>
    <w:rsid w:val="00A844A8"/>
    <w:rsid w:val="00AC4373"/>
    <w:rsid w:val="00B372DC"/>
    <w:rsid w:val="00B573D5"/>
    <w:rsid w:val="00B72EFB"/>
    <w:rsid w:val="00B85774"/>
    <w:rsid w:val="00B85CF7"/>
    <w:rsid w:val="00BD0FB0"/>
    <w:rsid w:val="00BD5EC5"/>
    <w:rsid w:val="00C3144A"/>
    <w:rsid w:val="00C31FEA"/>
    <w:rsid w:val="00C43107"/>
    <w:rsid w:val="00C44C98"/>
    <w:rsid w:val="00C456A2"/>
    <w:rsid w:val="00C52561"/>
    <w:rsid w:val="00C57B96"/>
    <w:rsid w:val="00C94B46"/>
    <w:rsid w:val="00CA38A6"/>
    <w:rsid w:val="00CD7EDD"/>
    <w:rsid w:val="00CF1C04"/>
    <w:rsid w:val="00CF728F"/>
    <w:rsid w:val="00D10FE6"/>
    <w:rsid w:val="00D11890"/>
    <w:rsid w:val="00D27E91"/>
    <w:rsid w:val="00D323AF"/>
    <w:rsid w:val="00D328CE"/>
    <w:rsid w:val="00DD1CDB"/>
    <w:rsid w:val="00E13118"/>
    <w:rsid w:val="00EC64B0"/>
    <w:rsid w:val="00EE0499"/>
    <w:rsid w:val="00F35112"/>
    <w:rsid w:val="00F43305"/>
    <w:rsid w:val="00F744D3"/>
    <w:rsid w:val="00FA069D"/>
    <w:rsid w:val="00FA75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Narrow" w:hAnsi="Arial Narrow"/>
      <w:bCs/>
      <w:color w:val="333333"/>
      <w:sz w:val="16"/>
      <w:szCs w:val="24"/>
    </w:rPr>
  </w:style>
  <w:style w:type="paragraph" w:styleId="berschrift1">
    <w:name w:val="heading 1"/>
    <w:basedOn w:val="Standard"/>
    <w:next w:val="Standard"/>
    <w:qFormat/>
    <w:pPr>
      <w:keepNext/>
      <w:outlineLvl w:val="0"/>
    </w:pPr>
    <w:rPr>
      <w:b/>
      <w:bCs w:val="0"/>
    </w:rPr>
  </w:style>
  <w:style w:type="paragraph" w:styleId="berschrift2">
    <w:name w:val="heading 2"/>
    <w:basedOn w:val="Standard"/>
    <w:next w:val="Standard"/>
    <w:qFormat/>
    <w:pPr>
      <w:keepNext/>
      <w:tabs>
        <w:tab w:val="left" w:pos="0"/>
      </w:tabs>
      <w:jc w:val="both"/>
      <w:outlineLvl w:val="1"/>
    </w:pPr>
    <w:rPr>
      <w:sz w:val="22"/>
    </w:rPr>
  </w:style>
  <w:style w:type="paragraph" w:styleId="berschrift3">
    <w:name w:val="heading 3"/>
    <w:basedOn w:val="Standard"/>
    <w:next w:val="Standard"/>
    <w:qFormat/>
    <w:pPr>
      <w:keepNext/>
      <w:widowControl w:val="0"/>
      <w:overflowPunct w:val="0"/>
      <w:autoSpaceDE w:val="0"/>
      <w:autoSpaceDN w:val="0"/>
      <w:adjustRightInd w:val="0"/>
      <w:jc w:val="center"/>
      <w:textAlignment w:val="baseline"/>
      <w:outlineLvl w:val="2"/>
    </w:pPr>
    <w:rPr>
      <w:rFonts w:ascii="Times New Roman" w:hAnsi="Times New Roman"/>
      <w:bCs w:val="0"/>
      <w:color w:val="auto"/>
      <w:sz w:val="24"/>
      <w:szCs w:val="20"/>
      <w:lang w:val="en-US"/>
    </w:rPr>
  </w:style>
  <w:style w:type="paragraph" w:styleId="berschrift5">
    <w:name w:val="heading 5"/>
    <w:basedOn w:val="Standard"/>
    <w:next w:val="Standard"/>
    <w:qFormat/>
    <w:pPr>
      <w:spacing w:before="240" w:after="60"/>
      <w:outlineLvl w:val="4"/>
    </w:pPr>
    <w:rPr>
      <w:b/>
      <w:i/>
      <w:sz w:val="26"/>
      <w:szCs w:val="26"/>
    </w:rPr>
  </w:style>
  <w:style w:type="paragraph" w:styleId="berschrift6">
    <w:name w:val="heading 6"/>
    <w:basedOn w:val="Standard"/>
    <w:next w:val="Standard"/>
    <w:qFormat/>
    <w:pPr>
      <w:keepNext/>
      <w:jc w:val="center"/>
      <w:outlineLvl w:val="5"/>
    </w:pPr>
    <w:rPr>
      <w:rFonts w:ascii="Times New Roman" w:hAnsi="Times New Roman"/>
      <w:bCs w:val="0"/>
      <w:color w:val="auto"/>
      <w:sz w:val="28"/>
    </w:rPr>
  </w:style>
  <w:style w:type="paragraph" w:styleId="berschrift8">
    <w:name w:val="heading 8"/>
    <w:basedOn w:val="Standard"/>
    <w:next w:val="Standard"/>
    <w:qFormat/>
    <w:pPr>
      <w:keepNext/>
      <w:outlineLvl w:val="7"/>
    </w:pPr>
    <w:rPr>
      <w:rFonts w:ascii="Times New Roman" w:hAnsi="Times New Roman"/>
      <w:b/>
      <w:bCs w:val="0"/>
      <w:color w:val="auto"/>
      <w:sz w:val="28"/>
    </w:rPr>
  </w:style>
  <w:style w:type="paragraph" w:styleId="berschrift9">
    <w:name w:val="heading 9"/>
    <w:basedOn w:val="Standard"/>
    <w:next w:val="Standard"/>
    <w:qFormat/>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Textkrper">
    <w:name w:val="Body Text"/>
    <w:basedOn w:val="Standard"/>
    <w:rPr>
      <w:sz w:val="22"/>
    </w:rPr>
  </w:style>
  <w:style w:type="paragraph" w:styleId="Titel">
    <w:name w:val="Title"/>
    <w:basedOn w:val="Standard"/>
    <w:qFormat/>
    <w:pPr>
      <w:jc w:val="center"/>
    </w:pPr>
    <w:rPr>
      <w:rFonts w:ascii="Times New Roman" w:hAnsi="Times New Roman"/>
      <w:b/>
      <w:bCs w:val="0"/>
      <w:i/>
      <w:iCs/>
      <w:color w:val="auto"/>
      <w:spacing w:val="460"/>
      <w:sz w:val="32"/>
    </w:rPr>
  </w:style>
  <w:style w:type="paragraph" w:styleId="Textkrper2">
    <w:name w:val="Body Text 2"/>
    <w:basedOn w:val="Standard"/>
    <w:pPr>
      <w:jc w:val="center"/>
    </w:pPr>
    <w:rPr>
      <w:b/>
      <w:i/>
      <w:iCs/>
      <w:spacing w:val="250"/>
      <w:sz w:val="24"/>
    </w:rPr>
  </w:style>
  <w:style w:type="paragraph" w:styleId="Sprechblasentext">
    <w:name w:val="Balloon Text"/>
    <w:basedOn w:val="Standard"/>
    <w:semiHidden/>
    <w:rsid w:val="00220A1F"/>
    <w:rPr>
      <w:rFonts w:ascii="Tahoma" w:hAnsi="Tahoma" w:cs="Tahoma"/>
      <w:szCs w:val="16"/>
    </w:rPr>
  </w:style>
  <w:style w:type="paragraph" w:styleId="Listenabsatz">
    <w:name w:val="List Paragraph"/>
    <w:basedOn w:val="Standard"/>
    <w:uiPriority w:val="34"/>
    <w:qFormat/>
    <w:rsid w:val="00CF728F"/>
    <w:pPr>
      <w:ind w:left="720"/>
      <w:contextualSpacing/>
    </w:pPr>
  </w:style>
  <w:style w:type="paragraph" w:styleId="StandardWeb">
    <w:name w:val="Normal (Web)"/>
    <w:basedOn w:val="Standard"/>
    <w:uiPriority w:val="99"/>
    <w:unhideWhenUsed/>
    <w:rsid w:val="00CD7EDD"/>
    <w:pPr>
      <w:spacing w:before="100" w:beforeAutospacing="1" w:after="100" w:afterAutospacing="1"/>
    </w:pPr>
    <w:rPr>
      <w:rFonts w:ascii="Times New Roman" w:hAnsi="Times New Roman"/>
      <w:bCs w:val="0"/>
      <w:color w:val="auto"/>
      <w:sz w:val="24"/>
    </w:rPr>
  </w:style>
  <w:style w:type="character" w:styleId="Hyperlink">
    <w:name w:val="Hyperlink"/>
    <w:basedOn w:val="Absatz-Standardschriftart"/>
    <w:uiPriority w:val="99"/>
    <w:unhideWhenUsed/>
    <w:rsid w:val="00CD7EDD"/>
    <w:rPr>
      <w:color w:val="0000FF"/>
      <w:u w:val="single"/>
    </w:rPr>
  </w:style>
  <w:style w:type="table" w:styleId="Tabellenraster">
    <w:name w:val="Table Grid"/>
    <w:basedOn w:val="NormaleTabelle"/>
    <w:uiPriority w:val="39"/>
    <w:rsid w:val="00CD7EDD"/>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sid w:val="00CD7EDD"/>
    <w:rPr>
      <w:b/>
      <w:bCs/>
    </w:rPr>
  </w:style>
  <w:style w:type="character" w:styleId="Hervorhebung">
    <w:name w:val="Emphasis"/>
    <w:basedOn w:val="Absatz-Standardschriftart"/>
    <w:qFormat/>
    <w:rsid w:val="00CD7E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Narrow" w:hAnsi="Arial Narrow"/>
      <w:bCs/>
      <w:color w:val="333333"/>
      <w:sz w:val="16"/>
      <w:szCs w:val="24"/>
    </w:rPr>
  </w:style>
  <w:style w:type="paragraph" w:styleId="berschrift1">
    <w:name w:val="heading 1"/>
    <w:basedOn w:val="Standard"/>
    <w:next w:val="Standard"/>
    <w:qFormat/>
    <w:pPr>
      <w:keepNext/>
      <w:outlineLvl w:val="0"/>
    </w:pPr>
    <w:rPr>
      <w:b/>
      <w:bCs w:val="0"/>
    </w:rPr>
  </w:style>
  <w:style w:type="paragraph" w:styleId="berschrift2">
    <w:name w:val="heading 2"/>
    <w:basedOn w:val="Standard"/>
    <w:next w:val="Standard"/>
    <w:qFormat/>
    <w:pPr>
      <w:keepNext/>
      <w:tabs>
        <w:tab w:val="left" w:pos="0"/>
      </w:tabs>
      <w:jc w:val="both"/>
      <w:outlineLvl w:val="1"/>
    </w:pPr>
    <w:rPr>
      <w:sz w:val="22"/>
    </w:rPr>
  </w:style>
  <w:style w:type="paragraph" w:styleId="berschrift3">
    <w:name w:val="heading 3"/>
    <w:basedOn w:val="Standard"/>
    <w:next w:val="Standard"/>
    <w:qFormat/>
    <w:pPr>
      <w:keepNext/>
      <w:widowControl w:val="0"/>
      <w:overflowPunct w:val="0"/>
      <w:autoSpaceDE w:val="0"/>
      <w:autoSpaceDN w:val="0"/>
      <w:adjustRightInd w:val="0"/>
      <w:jc w:val="center"/>
      <w:textAlignment w:val="baseline"/>
      <w:outlineLvl w:val="2"/>
    </w:pPr>
    <w:rPr>
      <w:rFonts w:ascii="Times New Roman" w:hAnsi="Times New Roman"/>
      <w:bCs w:val="0"/>
      <w:color w:val="auto"/>
      <w:sz w:val="24"/>
      <w:szCs w:val="20"/>
      <w:lang w:val="en-US"/>
    </w:rPr>
  </w:style>
  <w:style w:type="paragraph" w:styleId="berschrift5">
    <w:name w:val="heading 5"/>
    <w:basedOn w:val="Standard"/>
    <w:next w:val="Standard"/>
    <w:qFormat/>
    <w:pPr>
      <w:spacing w:before="240" w:after="60"/>
      <w:outlineLvl w:val="4"/>
    </w:pPr>
    <w:rPr>
      <w:b/>
      <w:i/>
      <w:sz w:val="26"/>
      <w:szCs w:val="26"/>
    </w:rPr>
  </w:style>
  <w:style w:type="paragraph" w:styleId="berschrift6">
    <w:name w:val="heading 6"/>
    <w:basedOn w:val="Standard"/>
    <w:next w:val="Standard"/>
    <w:qFormat/>
    <w:pPr>
      <w:keepNext/>
      <w:jc w:val="center"/>
      <w:outlineLvl w:val="5"/>
    </w:pPr>
    <w:rPr>
      <w:rFonts w:ascii="Times New Roman" w:hAnsi="Times New Roman"/>
      <w:bCs w:val="0"/>
      <w:color w:val="auto"/>
      <w:sz w:val="28"/>
    </w:rPr>
  </w:style>
  <w:style w:type="paragraph" w:styleId="berschrift8">
    <w:name w:val="heading 8"/>
    <w:basedOn w:val="Standard"/>
    <w:next w:val="Standard"/>
    <w:qFormat/>
    <w:pPr>
      <w:keepNext/>
      <w:outlineLvl w:val="7"/>
    </w:pPr>
    <w:rPr>
      <w:rFonts w:ascii="Times New Roman" w:hAnsi="Times New Roman"/>
      <w:b/>
      <w:bCs w:val="0"/>
      <w:color w:val="auto"/>
      <w:sz w:val="28"/>
    </w:rPr>
  </w:style>
  <w:style w:type="paragraph" w:styleId="berschrift9">
    <w:name w:val="heading 9"/>
    <w:basedOn w:val="Standard"/>
    <w:next w:val="Standard"/>
    <w:qFormat/>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Textkrper">
    <w:name w:val="Body Text"/>
    <w:basedOn w:val="Standard"/>
    <w:rPr>
      <w:sz w:val="22"/>
    </w:rPr>
  </w:style>
  <w:style w:type="paragraph" w:styleId="Titel">
    <w:name w:val="Title"/>
    <w:basedOn w:val="Standard"/>
    <w:qFormat/>
    <w:pPr>
      <w:jc w:val="center"/>
    </w:pPr>
    <w:rPr>
      <w:rFonts w:ascii="Times New Roman" w:hAnsi="Times New Roman"/>
      <w:b/>
      <w:bCs w:val="0"/>
      <w:i/>
      <w:iCs/>
      <w:color w:val="auto"/>
      <w:spacing w:val="460"/>
      <w:sz w:val="32"/>
    </w:rPr>
  </w:style>
  <w:style w:type="paragraph" w:styleId="Textkrper2">
    <w:name w:val="Body Text 2"/>
    <w:basedOn w:val="Standard"/>
    <w:pPr>
      <w:jc w:val="center"/>
    </w:pPr>
    <w:rPr>
      <w:b/>
      <w:i/>
      <w:iCs/>
      <w:spacing w:val="250"/>
      <w:sz w:val="24"/>
    </w:rPr>
  </w:style>
  <w:style w:type="paragraph" w:styleId="Sprechblasentext">
    <w:name w:val="Balloon Text"/>
    <w:basedOn w:val="Standard"/>
    <w:semiHidden/>
    <w:rsid w:val="00220A1F"/>
    <w:rPr>
      <w:rFonts w:ascii="Tahoma" w:hAnsi="Tahoma" w:cs="Tahoma"/>
      <w:szCs w:val="16"/>
    </w:rPr>
  </w:style>
  <w:style w:type="paragraph" w:styleId="Listenabsatz">
    <w:name w:val="List Paragraph"/>
    <w:basedOn w:val="Standard"/>
    <w:uiPriority w:val="34"/>
    <w:qFormat/>
    <w:rsid w:val="00CF728F"/>
    <w:pPr>
      <w:ind w:left="720"/>
      <w:contextualSpacing/>
    </w:pPr>
  </w:style>
  <w:style w:type="paragraph" w:styleId="StandardWeb">
    <w:name w:val="Normal (Web)"/>
    <w:basedOn w:val="Standard"/>
    <w:uiPriority w:val="99"/>
    <w:unhideWhenUsed/>
    <w:rsid w:val="00CD7EDD"/>
    <w:pPr>
      <w:spacing w:before="100" w:beforeAutospacing="1" w:after="100" w:afterAutospacing="1"/>
    </w:pPr>
    <w:rPr>
      <w:rFonts w:ascii="Times New Roman" w:hAnsi="Times New Roman"/>
      <w:bCs w:val="0"/>
      <w:color w:val="auto"/>
      <w:sz w:val="24"/>
    </w:rPr>
  </w:style>
  <w:style w:type="character" w:styleId="Hyperlink">
    <w:name w:val="Hyperlink"/>
    <w:basedOn w:val="Absatz-Standardschriftart"/>
    <w:uiPriority w:val="99"/>
    <w:unhideWhenUsed/>
    <w:rsid w:val="00CD7EDD"/>
    <w:rPr>
      <w:color w:val="0000FF"/>
      <w:u w:val="single"/>
    </w:rPr>
  </w:style>
  <w:style w:type="table" w:styleId="Tabellenraster">
    <w:name w:val="Table Grid"/>
    <w:basedOn w:val="NormaleTabelle"/>
    <w:uiPriority w:val="39"/>
    <w:rsid w:val="00CD7EDD"/>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sid w:val="00CD7EDD"/>
    <w:rPr>
      <w:b/>
      <w:bCs/>
    </w:rPr>
  </w:style>
  <w:style w:type="character" w:styleId="Hervorhebung">
    <w:name w:val="Emphasis"/>
    <w:basedOn w:val="Absatz-Standardschriftart"/>
    <w:qFormat/>
    <w:rsid w:val="00CD7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v.hessenrecht.hessen.de/lexsoft/default/hessenrecht_rv.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v.hessenrecht.hessen.de/lexsoft/default/hessenrecht_rv.html" TargetMode="External"/><Relationship Id="rId4" Type="http://schemas.openxmlformats.org/officeDocument/2006/relationships/settings" Target="settings.xml"/><Relationship Id="rId9" Type="http://schemas.openxmlformats.org/officeDocument/2006/relationships/hyperlink" Target="https://www.rv.hessenrecht.hessen.de/lexsoft/default/hessenrecht_rv.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Friedrich-Ebert-Schule Gesamtschule des Landkreises Darmstadt-Dieburg</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Friedrich-Ebert-Schule Gesamtschule des Landkreises Darmstadt-Dieburg</dc:title>
  <dc:creator>Sylvia</dc:creator>
  <cp:lastModifiedBy>Schachtsiek, Dorothea</cp:lastModifiedBy>
  <cp:revision>2</cp:revision>
  <cp:lastPrinted>2018-11-05T06:04:00Z</cp:lastPrinted>
  <dcterms:created xsi:type="dcterms:W3CDTF">2019-05-20T07:12:00Z</dcterms:created>
  <dcterms:modified xsi:type="dcterms:W3CDTF">2019-05-20T07:12:00Z</dcterms:modified>
</cp:coreProperties>
</file>